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5C228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C228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EA1ADC" w:rsidP="007703CA">
            <w:pPr>
              <w:rPr>
                <w:b/>
              </w:rPr>
            </w:pPr>
            <w:r>
              <w:rPr>
                <w:rStyle w:val="Firstpagetablebold"/>
              </w:rPr>
              <w:t>1</w:t>
            </w:r>
            <w:r w:rsidR="007703CA">
              <w:rPr>
                <w:rStyle w:val="Firstpagetablebold"/>
              </w:rPr>
              <w:t>5 September</w:t>
            </w:r>
            <w:r w:rsidR="003B7DA1">
              <w:rPr>
                <w:rStyle w:val="Firstpagetablebold"/>
              </w:rPr>
              <w:t xml:space="preserve"> 201</w:t>
            </w:r>
            <w:r w:rsidR="007703CA">
              <w:rPr>
                <w:rStyle w:val="Firstpagetablebold"/>
              </w:rPr>
              <w:t>6</w:t>
            </w:r>
          </w:p>
        </w:tc>
      </w:tr>
      <w:tr w:rsidR="00CE544A" w:rsidRPr="00975B07" w:rsidTr="005C228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5C228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Default="007703CA" w:rsidP="004A6D2F">
            <w:pPr>
              <w:rPr>
                <w:rStyle w:val="Firstpagetablebold"/>
              </w:rPr>
            </w:pPr>
            <w:r w:rsidRPr="007703CA">
              <w:rPr>
                <w:rStyle w:val="Firstpagetablebold"/>
              </w:rPr>
              <w:t>Treasury Management Annual Report 2015/2016</w:t>
            </w:r>
          </w:p>
          <w:p w:rsidR="00075ED0" w:rsidRPr="001356F1" w:rsidRDefault="00075ED0" w:rsidP="004A6D2F">
            <w:pPr>
              <w:rPr>
                <w:rStyle w:val="Firstpagetablebold"/>
              </w:rPr>
            </w:pPr>
          </w:p>
        </w:tc>
      </w:tr>
      <w:tr w:rsidR="00D5547E"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sidP="001B6F05">
            <w:r w:rsidRPr="005C4FF3">
              <w:t>The report sets out the Council’s treasury management activity and performance for</w:t>
            </w:r>
            <w:r w:rsidR="00981D91">
              <w:t xml:space="preserve"> the financial year</w:t>
            </w:r>
            <w:r w:rsidRPr="005C4FF3">
              <w:t xml:space="preserve"> 2015/2016.</w:t>
            </w:r>
            <w:r w:rsidR="002766F5">
              <w:t xml:space="preserve">  The report also </w:t>
            </w:r>
            <w:r w:rsidR="001B6F05">
              <w:t xml:space="preserve">identifies some reductions in interest rates in 2016/17 and </w:t>
            </w:r>
            <w:r w:rsidR="002766F5">
              <w:t>recommends a change to the Treasury Strategy for 2016/17.</w:t>
            </w:r>
          </w:p>
        </w:tc>
      </w:tr>
      <w:tr w:rsidR="00D5547E"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C2282">
            <w:r w:rsidRPr="005C4FF3">
              <w:t>C</w:t>
            </w:r>
            <w:r w:rsidR="005C2282">
              <w:t>llr</w:t>
            </w:r>
            <w:r w:rsidRPr="005C4FF3">
              <w:t xml:space="preserve"> Ed Turner</w:t>
            </w:r>
            <w:r w:rsidR="00EA1ADC">
              <w:t>, Finance, Asset Management and Public Health</w:t>
            </w:r>
          </w:p>
        </w:tc>
      </w:tr>
      <w:tr w:rsidR="0080749A"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EA1ADC" w:rsidP="00EA1ADC">
            <w:r>
              <w:rPr>
                <w:rStyle w:val="Firstpagetablebold"/>
              </w:rPr>
              <w:t>Recommendations</w:t>
            </w:r>
            <w:r w:rsidR="005F7F7E">
              <w:rPr>
                <w:rStyle w:val="Firstpagetablebold"/>
              </w:rPr>
              <w:t>:</w:t>
            </w:r>
            <w:r>
              <w:rPr>
                <w:rStyle w:val="Firstpagetablebold"/>
              </w:rPr>
              <w:t xml:space="preserve"> </w:t>
            </w:r>
            <w:r w:rsidRPr="00EA1ADC">
              <w:rPr>
                <w:rStyle w:val="Firstpagetablebold"/>
                <w:b w:val="0"/>
              </w:rPr>
              <w:t>That the City Executive Board resolves to:</w:t>
            </w:r>
          </w:p>
        </w:tc>
      </w:tr>
      <w:tr w:rsidR="00B80611" w:rsidRPr="00975B07"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EA1ADC" w:rsidRDefault="00B80611" w:rsidP="0077395B">
            <w:pPr>
              <w:rPr>
                <w:b/>
              </w:rPr>
            </w:pPr>
            <w:r w:rsidRPr="00EA1ADC">
              <w:rPr>
                <w:rStyle w:val="Firstpagetablebold"/>
              </w:rPr>
              <w:t>Note</w:t>
            </w:r>
            <w:r w:rsidRPr="00EA1ADC">
              <w:rPr>
                <w:rStyle w:val="Firstpagetablebold"/>
                <w:b w:val="0"/>
              </w:rPr>
              <w:t xml:space="preserve"> the report</w:t>
            </w:r>
          </w:p>
        </w:tc>
      </w:tr>
      <w:tr w:rsidR="00232F5B" w:rsidRPr="00975B07" w:rsidTr="005C22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B80611" w:rsidP="00B80611">
            <w:r>
              <w:t>2</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B80611" w:rsidRPr="00EA1ADC" w:rsidRDefault="00981D91" w:rsidP="00981D91">
            <w:pPr>
              <w:rPr>
                <w:b/>
              </w:rPr>
            </w:pPr>
            <w:r w:rsidRPr="00EA1ADC">
              <w:rPr>
                <w:rStyle w:val="Firstpagetablebold"/>
              </w:rPr>
              <w:t>Recommend that Council</w:t>
            </w:r>
            <w:r w:rsidRPr="00EA1ADC">
              <w:rPr>
                <w:rStyle w:val="Firstpagetablebold"/>
                <w:b w:val="0"/>
              </w:rPr>
              <w:t xml:space="preserve"> a</w:t>
            </w:r>
            <w:r w:rsidR="00B80611" w:rsidRPr="00EA1ADC">
              <w:rPr>
                <w:rStyle w:val="Firstpagetablebold"/>
                <w:b w:val="0"/>
              </w:rPr>
              <w:t>pprove the amendment to the Specified Investments list attached at Appendix 1</w:t>
            </w:r>
            <w:r w:rsidR="002766F5" w:rsidRPr="00EA1ADC">
              <w:rPr>
                <w:rStyle w:val="Firstpagetablebold"/>
                <w:b w:val="0"/>
              </w:rPr>
              <w:t xml:space="preserve"> (paragraphs 35 – 37</w:t>
            </w:r>
            <w:r w:rsidRPr="00EA1ADC">
              <w:rPr>
                <w:rStyle w:val="Firstpagetablebold"/>
                <w:b w:val="0"/>
              </w:rPr>
              <w:t xml:space="preserve"> below</w:t>
            </w:r>
            <w:r w:rsidR="002766F5" w:rsidRPr="00EA1ADC">
              <w:rPr>
                <w:rStyle w:val="Firstpagetablebold"/>
                <w:b w:val="0"/>
              </w:rPr>
              <w:t>)</w:t>
            </w:r>
          </w:p>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r w:rsidRPr="00975B07">
              <w:t xml:space="preserve">Appendix </w:t>
            </w:r>
            <w:r>
              <w:t>1</w:t>
            </w:r>
          </w:p>
        </w:tc>
        <w:tc>
          <w:tcPr>
            <w:tcW w:w="6406" w:type="dxa"/>
            <w:tcBorders>
              <w:top w:val="nil"/>
              <w:left w:val="nil"/>
              <w:bottom w:val="single" w:sz="8" w:space="0" w:color="000000"/>
              <w:right w:val="single" w:sz="8" w:space="0" w:color="000000"/>
            </w:tcBorders>
          </w:tcPr>
          <w:p w:rsidR="00B80611" w:rsidRPr="001356F1" w:rsidRDefault="00B80611" w:rsidP="002766F5">
            <w:bookmarkStart w:id="0" w:name="_GoBack"/>
            <w:r>
              <w:t xml:space="preserve">Amended </w:t>
            </w:r>
            <w:r w:rsidRPr="00B80611">
              <w:t>Specified Investments List</w:t>
            </w:r>
            <w:bookmarkEnd w:id="0"/>
          </w:p>
        </w:tc>
      </w:tr>
    </w:tbl>
    <w:p w:rsidR="0040736F" w:rsidRPr="001356F1" w:rsidRDefault="005C4FF3" w:rsidP="004A6D2F">
      <w:pPr>
        <w:pStyle w:val="Heading1"/>
      </w:pPr>
      <w:r>
        <w:t>Executive Summary</w:t>
      </w:r>
    </w:p>
    <w:p w:rsidR="00E87F7A" w:rsidRDefault="005C4FF3" w:rsidP="005C4FF3">
      <w:pPr>
        <w:pStyle w:val="ListParagraph"/>
      </w:pPr>
      <w:r w:rsidRPr="005C4FF3">
        <w:t xml:space="preserve">The Council held investments of £64.26 million as at </w:t>
      </w:r>
      <w:r w:rsidR="00EA1ADC">
        <w:t>31</w:t>
      </w:r>
      <w:r w:rsidRPr="005C4FF3">
        <w:t xml:space="preserve"> March 2016.  Interest earned during the year was £0.86 million against an income target of £0.94 million.</w:t>
      </w:r>
    </w:p>
    <w:p w:rsidR="005C4FF3" w:rsidRDefault="005C4FF3" w:rsidP="005C4FF3">
      <w:pPr>
        <w:pStyle w:val="ListParagraph"/>
      </w:pPr>
      <w:r w:rsidRPr="005C4FF3">
        <w:t>The average rate of return on the Council’s investments in 2015/2016 was 1.17% compared to 1.18% in 2014/15. This was above the Council’s performance target of 1.0% (i.e. 0.5% above base rate) and</w:t>
      </w:r>
      <w:r w:rsidR="001C2FA1">
        <w:t xml:space="preserve"> is</w:t>
      </w:r>
      <w:r w:rsidRPr="005C4FF3">
        <w:t xml:space="preserve"> primarily due to investments in property funds </w:t>
      </w:r>
      <w:r w:rsidR="002D4552">
        <w:t>off</w:t>
      </w:r>
      <w:r w:rsidR="001C2FA1">
        <w:t>-</w:t>
      </w:r>
      <w:r w:rsidR="002D4552">
        <w:t xml:space="preserve">setting </w:t>
      </w:r>
      <w:r w:rsidRPr="005C4FF3">
        <w:t xml:space="preserve">market investment rates </w:t>
      </w:r>
      <w:r w:rsidR="001C2FA1">
        <w:t xml:space="preserve">which </w:t>
      </w:r>
      <w:r w:rsidRPr="005C4FF3">
        <w:t>have fallen to very low levels.</w:t>
      </w:r>
    </w:p>
    <w:p w:rsidR="005C4FF3" w:rsidRDefault="005C4FF3" w:rsidP="005C4FF3">
      <w:pPr>
        <w:pStyle w:val="ListParagraph"/>
      </w:pPr>
      <w:r w:rsidRPr="005C4FF3">
        <w:t>The Council has £0.166 million outstanding with the failed Icelandic Banks.  £0.217 million was received in year, and it is expected that the majority of the remaining funds will be received in due course.  Further information can be found in paragraphs 2</w:t>
      </w:r>
      <w:r w:rsidR="00DA63F7">
        <w:t>5</w:t>
      </w:r>
      <w:r w:rsidRPr="005C4FF3">
        <w:t>-2</w:t>
      </w:r>
      <w:r w:rsidR="00DA63F7">
        <w:t>7</w:t>
      </w:r>
      <w:r w:rsidRPr="005C4FF3">
        <w:t>.</w:t>
      </w:r>
    </w:p>
    <w:p w:rsidR="005C4FF3" w:rsidRPr="001356F1" w:rsidRDefault="005C4FF3" w:rsidP="005C4FF3">
      <w:pPr>
        <w:pStyle w:val="ListParagraph"/>
      </w:pPr>
      <w:r w:rsidRPr="005C4FF3">
        <w:lastRenderedPageBreak/>
        <w:t xml:space="preserve">The Council held £198.5 million of fixed rate Public Works Loan Board (PWLB) debt as at </w:t>
      </w:r>
      <w:r w:rsidR="00EA1ADC">
        <w:t>31</w:t>
      </w:r>
      <w:r w:rsidRPr="005C4FF3">
        <w:t xml:space="preserve"> March 2016.  The debt was borrowed in March 2012 to fund the buy-out of the Housing Revenue Account (HRA). All of the debt relates to Housing and the maturity profile ranges from 5 to 41 years.  Interest paid on the debt in 2015/2016 was £6.47 million</w:t>
      </w:r>
      <w:r>
        <w:t>.</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Pr="003C7A90"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841F4D" w:rsidRPr="001356F1" w:rsidRDefault="00841F4D" w:rsidP="00841F4D">
      <w:pPr>
        <w:pStyle w:val="bParagraphtext"/>
        <w:numPr>
          <w:ilvl w:val="0"/>
          <w:numId w:val="0"/>
        </w:numPr>
        <w:ind w:left="426"/>
        <w:rPr>
          <w:rStyle w:val="ListParagraphChar"/>
        </w:rPr>
      </w:pPr>
    </w:p>
    <w:p w:rsidR="00E87F7A" w:rsidRDefault="00841F4D" w:rsidP="00841F4D">
      <w:pPr>
        <w:pStyle w:val="bParagraphtext"/>
      </w:pPr>
      <w:r w:rsidRPr="00841F4D">
        <w:t>The Council fully complied with its Treasury Management Strategy in relation to both debt and investment management in 2015/2016.</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2015/16</w:t>
      </w:r>
      <w:r w:rsidRPr="00841F4D">
        <w:t>.</w:t>
      </w:r>
    </w:p>
    <w:p w:rsidR="00841F4D" w:rsidRPr="00F94D74" w:rsidRDefault="00841F4D" w:rsidP="00841F4D">
      <w:pPr>
        <w:rPr>
          <w:b/>
          <w:i/>
        </w:rPr>
      </w:pPr>
      <w:r>
        <w:rPr>
          <w:b/>
        </w:rPr>
        <w:t>Financing the Capital Programme 2015/16</w:t>
      </w:r>
    </w:p>
    <w:p w:rsidR="00E87F7A" w:rsidRDefault="000B39A5" w:rsidP="005570B5">
      <w:pPr>
        <w:pStyle w:val="bParagraphtext"/>
      </w:pPr>
      <w:r w:rsidRPr="000B39A5">
        <w:t>Table 1 below shows actual capital expenditure and financing compared to the original budget.</w:t>
      </w:r>
    </w:p>
    <w:p w:rsidR="000B39A5" w:rsidRPr="000B39A5" w:rsidRDefault="000B39A5" w:rsidP="000B39A5">
      <w:pPr>
        <w:spacing w:after="0"/>
        <w:ind w:left="720"/>
        <w:rPr>
          <w:b/>
          <w:color w:val="auto"/>
          <w:lang w:eastAsia="en-US"/>
        </w:rPr>
      </w:pPr>
      <w:r w:rsidRPr="000B39A5">
        <w:rPr>
          <w:b/>
          <w:color w:val="auto"/>
          <w:lang w:eastAsia="en-US"/>
        </w:rPr>
        <w:t>Table 1</w:t>
      </w:r>
    </w:p>
    <w:tbl>
      <w:tblPr>
        <w:tblW w:w="6930" w:type="dxa"/>
        <w:tblInd w:w="720" w:type="dxa"/>
        <w:tblLook w:val="04A0" w:firstRow="1" w:lastRow="0" w:firstColumn="1" w:lastColumn="0" w:noHBand="0" w:noVBand="1"/>
      </w:tblPr>
      <w:tblGrid>
        <w:gridCol w:w="3220"/>
        <w:gridCol w:w="1276"/>
        <w:gridCol w:w="1276"/>
        <w:gridCol w:w="1158"/>
      </w:tblGrid>
      <w:tr w:rsidR="000B39A5" w:rsidRPr="000B39A5" w:rsidTr="000B39A5">
        <w:trPr>
          <w:trHeight w:val="3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Capital Expenditure</w:t>
            </w:r>
          </w:p>
        </w:tc>
        <w:tc>
          <w:tcPr>
            <w:tcW w:w="1276" w:type="dxa"/>
            <w:tcBorders>
              <w:top w:val="single" w:sz="4" w:space="0" w:color="auto"/>
              <w:left w:val="single" w:sz="4" w:space="0" w:color="auto"/>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2015/16</w:t>
            </w:r>
          </w:p>
        </w:tc>
        <w:tc>
          <w:tcPr>
            <w:tcW w:w="1276" w:type="dxa"/>
            <w:tcBorders>
              <w:top w:val="single" w:sz="4" w:space="0" w:color="auto"/>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2015/16</w:t>
            </w:r>
          </w:p>
        </w:tc>
        <w:tc>
          <w:tcPr>
            <w:tcW w:w="1158" w:type="dxa"/>
            <w:tcBorders>
              <w:top w:val="single" w:sz="4" w:space="0" w:color="auto"/>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Variation</w:t>
            </w:r>
          </w:p>
        </w:tc>
      </w:tr>
      <w:tr w:rsidR="000B39A5" w:rsidRPr="000B39A5" w:rsidTr="000B39A5">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 </w:t>
            </w:r>
          </w:p>
        </w:tc>
        <w:tc>
          <w:tcPr>
            <w:tcW w:w="1276" w:type="dxa"/>
            <w:tcBorders>
              <w:top w:val="nil"/>
              <w:left w:val="single" w:sz="4" w:space="0" w:color="auto"/>
              <w:bottom w:val="nil"/>
              <w:right w:val="single" w:sz="4" w:space="0" w:color="auto"/>
            </w:tcBorders>
            <w:shd w:val="clear" w:color="000000" w:fill="D9D9D9"/>
            <w:noWrap/>
            <w:vAlign w:val="bottom"/>
            <w:hideMark/>
          </w:tcPr>
          <w:p w:rsidR="000B39A5" w:rsidRPr="000B39A5" w:rsidRDefault="00C63CDF" w:rsidP="000B39A5">
            <w:pPr>
              <w:spacing w:after="0"/>
              <w:jc w:val="center"/>
              <w:rPr>
                <w:rFonts w:cs="Arial"/>
                <w:b/>
                <w:bCs/>
                <w:color w:val="auto"/>
                <w:sz w:val="22"/>
                <w:szCs w:val="22"/>
              </w:rPr>
            </w:pPr>
            <w:r>
              <w:rPr>
                <w:rFonts w:cs="Arial"/>
                <w:b/>
                <w:bCs/>
                <w:color w:val="auto"/>
                <w:sz w:val="22"/>
                <w:szCs w:val="22"/>
              </w:rPr>
              <w:t>Original</w:t>
            </w:r>
            <w:r w:rsidR="00E94DFB">
              <w:rPr>
                <w:rFonts w:cs="Arial"/>
                <w:b/>
                <w:bCs/>
                <w:color w:val="auto"/>
                <w:sz w:val="22"/>
                <w:szCs w:val="22"/>
              </w:rPr>
              <w:t xml:space="preserve"> </w:t>
            </w:r>
            <w:r w:rsidR="000B39A5" w:rsidRPr="000B39A5">
              <w:rPr>
                <w:rFonts w:cs="Arial"/>
                <w:b/>
                <w:bCs/>
                <w:color w:val="auto"/>
                <w:sz w:val="22"/>
                <w:szCs w:val="22"/>
              </w:rPr>
              <w:t>Budget</w:t>
            </w:r>
          </w:p>
        </w:tc>
        <w:tc>
          <w:tcPr>
            <w:tcW w:w="1276" w:type="dxa"/>
            <w:tcBorders>
              <w:top w:val="nil"/>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Actual</w:t>
            </w:r>
          </w:p>
        </w:tc>
        <w:tc>
          <w:tcPr>
            <w:tcW w:w="1158" w:type="dxa"/>
            <w:tcBorders>
              <w:top w:val="nil"/>
              <w:left w:val="nil"/>
              <w:bottom w:val="nil"/>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 </w:t>
            </w:r>
          </w:p>
        </w:tc>
      </w:tr>
      <w:tr w:rsidR="000B39A5" w:rsidRPr="000B39A5" w:rsidTr="000B39A5">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 </w:t>
            </w: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£'000</w:t>
            </w:r>
          </w:p>
        </w:tc>
        <w:tc>
          <w:tcPr>
            <w:tcW w:w="1158" w:type="dxa"/>
            <w:tcBorders>
              <w:top w:val="nil"/>
              <w:left w:val="nil"/>
              <w:bottom w:val="single" w:sz="4" w:space="0" w:color="auto"/>
              <w:right w:val="single" w:sz="4" w:space="0" w:color="auto"/>
            </w:tcBorders>
            <w:shd w:val="clear" w:color="000000" w:fill="D9D9D9"/>
            <w:noWrap/>
            <w:vAlign w:val="bottom"/>
            <w:hideMark/>
          </w:tcPr>
          <w:p w:rsidR="000B39A5" w:rsidRPr="000B39A5" w:rsidRDefault="000B39A5" w:rsidP="000B39A5">
            <w:pPr>
              <w:spacing w:after="0"/>
              <w:jc w:val="center"/>
              <w:rPr>
                <w:rFonts w:cs="Arial"/>
                <w:b/>
                <w:bCs/>
                <w:color w:val="auto"/>
                <w:sz w:val="22"/>
                <w:szCs w:val="22"/>
              </w:rPr>
            </w:pPr>
            <w:r w:rsidRPr="000B39A5">
              <w:rPr>
                <w:rFonts w:cs="Arial"/>
                <w:b/>
                <w:bCs/>
                <w:color w:val="auto"/>
                <w:sz w:val="22"/>
                <w:szCs w:val="22"/>
              </w:rPr>
              <w:t>£'000</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Non-HRA Capital Expenditure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17,858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17,129</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(729)</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HRA Capital Expenditure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21,047</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15,579</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(5,468)</w:t>
            </w:r>
          </w:p>
        </w:tc>
      </w:tr>
      <w:tr w:rsidR="000B39A5" w:rsidRPr="000B39A5" w:rsidTr="000B39A5">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b/>
                <w:color w:val="auto"/>
                <w:sz w:val="22"/>
                <w:szCs w:val="22"/>
              </w:rPr>
            </w:pPr>
            <w:r w:rsidRPr="000B39A5">
              <w:rPr>
                <w:rFonts w:cs="Arial"/>
                <w:b/>
                <w:color w:val="auto"/>
                <w:sz w:val="22"/>
                <w:szCs w:val="22"/>
              </w:rPr>
              <w:t>Total Capital Expenditure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38,905</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32,708</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(6,197)</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 </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b/>
                <w:color w:val="auto"/>
                <w:sz w:val="22"/>
                <w:szCs w:val="22"/>
              </w:rPr>
            </w:pPr>
            <w:r w:rsidRPr="000B39A5">
              <w:rPr>
                <w:rFonts w:cs="Arial"/>
                <w:b/>
                <w:color w:val="auto"/>
                <w:sz w:val="22"/>
                <w:szCs w:val="22"/>
              </w:rPr>
              <w:t>Resourced by:</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r w:rsidRPr="000B39A5">
              <w:rPr>
                <w:rFonts w:cs="Arial"/>
                <w:color w:val="auto"/>
                <w:sz w:val="22"/>
                <w:szCs w:val="22"/>
              </w:rPr>
              <w:t>Developer Contributions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2,754</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706</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(2,048)</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Capital Receipts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7,288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9,765</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2,477</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Capital Grants and contributions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947</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6,336</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5,389</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rPr>
                <w:rFonts w:cs="Arial"/>
                <w:color w:val="auto"/>
                <w:sz w:val="22"/>
                <w:szCs w:val="22"/>
              </w:rPr>
            </w:pPr>
            <w:r w:rsidRPr="000B39A5">
              <w:rPr>
                <w:rFonts w:cs="Arial"/>
                <w:color w:val="auto"/>
                <w:sz w:val="22"/>
                <w:szCs w:val="22"/>
              </w:rPr>
              <w:t>Major Repairs Reserve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6,858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8,177</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1,319</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Prudential Borrowing</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3,268</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(3,268)</w:t>
            </w:r>
          </w:p>
        </w:tc>
      </w:tr>
      <w:tr w:rsidR="000B39A5" w:rsidRPr="000B39A5" w:rsidTr="000B39A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color w:val="auto"/>
                <w:sz w:val="22"/>
                <w:szCs w:val="22"/>
              </w:rPr>
            </w:pPr>
            <w:r w:rsidRPr="000B39A5">
              <w:rPr>
                <w:rFonts w:cs="Arial"/>
                <w:color w:val="auto"/>
                <w:sz w:val="22"/>
                <w:szCs w:val="22"/>
              </w:rPr>
              <w:t>Revenue</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17,790</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7,724</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color w:val="auto"/>
                <w:sz w:val="22"/>
                <w:szCs w:val="22"/>
              </w:rPr>
            </w:pPr>
            <w:r w:rsidRPr="000B39A5">
              <w:rPr>
                <w:rFonts w:cs="Arial"/>
                <w:color w:val="auto"/>
                <w:sz w:val="22"/>
                <w:szCs w:val="22"/>
              </w:rPr>
              <w:t>(10,066)</w:t>
            </w:r>
          </w:p>
        </w:tc>
      </w:tr>
      <w:tr w:rsidR="000B39A5" w:rsidRPr="000B39A5" w:rsidTr="000B39A5">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0B39A5" w:rsidRPr="000B39A5" w:rsidRDefault="000B39A5" w:rsidP="000B39A5">
            <w:pPr>
              <w:spacing w:after="0"/>
              <w:rPr>
                <w:rFonts w:cs="Arial"/>
                <w:b/>
                <w:bCs/>
                <w:color w:val="auto"/>
                <w:sz w:val="22"/>
                <w:szCs w:val="22"/>
              </w:rPr>
            </w:pPr>
            <w:r w:rsidRPr="000B39A5">
              <w:rPr>
                <w:rFonts w:cs="Arial"/>
                <w:b/>
                <w:bCs/>
                <w:color w:val="auto"/>
                <w:sz w:val="22"/>
                <w:szCs w:val="22"/>
              </w:rPr>
              <w:t>Total Capital Resources</w:t>
            </w:r>
          </w:p>
        </w:tc>
        <w:tc>
          <w:tcPr>
            <w:tcW w:w="1276" w:type="dxa"/>
            <w:tcBorders>
              <w:top w:val="nil"/>
              <w:left w:val="single" w:sz="4" w:space="0" w:color="auto"/>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38,905</w:t>
            </w:r>
          </w:p>
        </w:tc>
        <w:tc>
          <w:tcPr>
            <w:tcW w:w="1276"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32,708</w:t>
            </w:r>
          </w:p>
        </w:tc>
        <w:tc>
          <w:tcPr>
            <w:tcW w:w="1158" w:type="dxa"/>
            <w:tcBorders>
              <w:top w:val="nil"/>
              <w:left w:val="nil"/>
              <w:bottom w:val="nil"/>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r w:rsidRPr="000B39A5">
              <w:rPr>
                <w:rFonts w:cs="Arial"/>
                <w:b/>
                <w:bCs/>
                <w:color w:val="auto"/>
                <w:sz w:val="22"/>
                <w:szCs w:val="22"/>
              </w:rPr>
              <w:t>(6,197)</w:t>
            </w:r>
          </w:p>
        </w:tc>
      </w:tr>
      <w:tr w:rsidR="000B39A5" w:rsidRPr="000B39A5" w:rsidTr="000B39A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0B39A5" w:rsidRPr="000B39A5" w:rsidRDefault="000B39A5" w:rsidP="000B39A5">
            <w:pPr>
              <w:spacing w:after="0"/>
              <w:rPr>
                <w:rFonts w:cs="Arial"/>
                <w:b/>
                <w:bCs/>
                <w:color w:val="auto"/>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p>
        </w:tc>
        <w:tc>
          <w:tcPr>
            <w:tcW w:w="1158" w:type="dxa"/>
            <w:tcBorders>
              <w:top w:val="nil"/>
              <w:left w:val="nil"/>
              <w:bottom w:val="single" w:sz="4" w:space="0" w:color="auto"/>
              <w:right w:val="single" w:sz="4" w:space="0" w:color="auto"/>
            </w:tcBorders>
            <w:shd w:val="clear" w:color="auto" w:fill="auto"/>
            <w:noWrap/>
            <w:vAlign w:val="bottom"/>
          </w:tcPr>
          <w:p w:rsidR="000B39A5" w:rsidRPr="000B39A5" w:rsidRDefault="000B39A5" w:rsidP="000B39A5">
            <w:pPr>
              <w:spacing w:after="0"/>
              <w:jc w:val="right"/>
              <w:rPr>
                <w:rFonts w:cs="Arial"/>
                <w:b/>
                <w:bCs/>
                <w:color w:val="auto"/>
                <w:sz w:val="22"/>
                <w:szCs w:val="22"/>
              </w:rPr>
            </w:pPr>
          </w:p>
        </w:tc>
      </w:tr>
    </w:tbl>
    <w:p w:rsidR="000B39A5" w:rsidRDefault="000B39A5" w:rsidP="000B39A5">
      <w:pPr>
        <w:pStyle w:val="bParagraphtext"/>
        <w:numPr>
          <w:ilvl w:val="0"/>
          <w:numId w:val="0"/>
        </w:numPr>
        <w:spacing w:after="0"/>
        <w:ind w:left="425"/>
      </w:pPr>
    </w:p>
    <w:p w:rsidR="000B39A5" w:rsidRPr="001356F1" w:rsidRDefault="000B39A5" w:rsidP="000B39A5">
      <w:pPr>
        <w:pStyle w:val="bParagraphtext"/>
        <w:numPr>
          <w:ilvl w:val="0"/>
          <w:numId w:val="0"/>
        </w:numPr>
        <w:spacing w:after="0"/>
        <w:ind w:left="425"/>
      </w:pPr>
    </w:p>
    <w:p w:rsidR="00307033" w:rsidRDefault="000B39A5" w:rsidP="00240F69">
      <w:pPr>
        <w:pStyle w:val="bParagraphtext"/>
      </w:pPr>
      <w:r w:rsidRPr="000B39A5">
        <w:t xml:space="preserve">There was also £8.674 million </w:t>
      </w:r>
      <w:r w:rsidR="00C63CDF">
        <w:t xml:space="preserve">carried </w:t>
      </w:r>
      <w:r w:rsidRPr="000B39A5">
        <w:t xml:space="preserve">forward into 2015/16 from 2014/15 giving a revised budget of £47.579 million.  The outturn position </w:t>
      </w:r>
      <w:r w:rsidR="00DA63F7">
        <w:t xml:space="preserve">shows that </w:t>
      </w:r>
      <w:r w:rsidRPr="000B39A5">
        <w:t xml:space="preserve">£14.87 million </w:t>
      </w:r>
      <w:r w:rsidR="00DA63F7">
        <w:t xml:space="preserve">less than the budget </w:t>
      </w:r>
      <w:proofErr w:type="gramStart"/>
      <w:r w:rsidR="00DA63F7">
        <w:t>has</w:t>
      </w:r>
      <w:proofErr w:type="gramEnd"/>
      <w:r w:rsidR="00DA63F7">
        <w:t xml:space="preserve"> been spent</w:t>
      </w:r>
      <w:r w:rsidRPr="000B39A5">
        <w:t xml:space="preserve">.  The temporary moratorium imposed on both General Fund and HRA Capital schemes agreed by members at CEB on the 10th September (lifted in December) due to uncertainties around Government funding especially in the HRA was the main </w:t>
      </w:r>
      <w:r w:rsidR="00A27956">
        <w:t>cause of the underspend</w:t>
      </w:r>
      <w:r w:rsidRPr="000B39A5">
        <w:t>.  Overall spend was 6</w:t>
      </w:r>
      <w:r w:rsidR="00CD2A56">
        <w:t>9</w:t>
      </w:r>
      <w:r w:rsidRPr="000B39A5">
        <w:t xml:space="preserve">% of the budget compared to 76% (£48.7million spent) in 2014/15.  Major variations </w:t>
      </w:r>
      <w:r w:rsidR="00240F69">
        <w:t xml:space="preserve">to the Capital Programme were reported </w:t>
      </w:r>
      <w:r w:rsidR="00054C4D">
        <w:t xml:space="preserve">in detail </w:t>
      </w:r>
      <w:r w:rsidR="00240F69">
        <w:t>to the June 2016 meeting of this Board</w:t>
      </w:r>
      <w:r w:rsidR="00054C4D">
        <w:t>.</w:t>
      </w:r>
    </w:p>
    <w:p w:rsidR="00E87F7A" w:rsidRDefault="00240F69" w:rsidP="00240F69">
      <w:pPr>
        <w:pStyle w:val="bParagraphtext"/>
      </w:pPr>
      <w:r>
        <w:t xml:space="preserve"> </w:t>
      </w:r>
      <w:r w:rsidR="0004715F">
        <w:t xml:space="preserve">It was originally planned to take out prudential borrowing to </w:t>
      </w:r>
      <w:r w:rsidR="00886756">
        <w:t xml:space="preserve">finance HRA expenditure, </w:t>
      </w:r>
      <w:r w:rsidR="00DB0BD1">
        <w:t xml:space="preserve">however the HRA new build investment plans had to be scaled back due to Government legislative proposals which led to a revision of the </w:t>
      </w:r>
      <w:r w:rsidR="00307033">
        <w:t>P</w:t>
      </w:r>
      <w:r w:rsidR="00DB0BD1">
        <w:t>rogramme and</w:t>
      </w:r>
      <w:r w:rsidR="00307033">
        <w:t xml:space="preserve"> </w:t>
      </w:r>
      <w:proofErr w:type="gramStart"/>
      <w:r w:rsidR="005708F5">
        <w:t>its</w:t>
      </w:r>
      <w:proofErr w:type="gramEnd"/>
      <w:r w:rsidR="00307033">
        <w:t xml:space="preserve"> financing</w:t>
      </w:r>
      <w:r w:rsidR="00886756">
        <w:t>.  The use of capital grants and contributions were higher than budgeted; the main reason for this was additional funding received for the Oxpens development site.</w:t>
      </w:r>
    </w:p>
    <w:p w:rsidR="00100D19" w:rsidRPr="00F94D74" w:rsidRDefault="00100D19" w:rsidP="00100D19">
      <w:pPr>
        <w:rPr>
          <w:b/>
          <w:i/>
        </w:rPr>
      </w:pPr>
      <w:r w:rsidRPr="00100D19">
        <w:rPr>
          <w:b/>
        </w:rPr>
        <w:t>The Council’s Overall Borrowing Need</w:t>
      </w:r>
    </w:p>
    <w:p w:rsidR="000B39A5" w:rsidRDefault="00100D19" w:rsidP="00100D19">
      <w:pPr>
        <w:pStyle w:val="bParagraphtext"/>
      </w:pPr>
      <w:r w:rsidRPr="00100D19">
        <w:t>The Council’s underlying need to borrow, or Capital Financing Requirement (CFR), is a gauge of the Council’s level of indebtedness.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100D19">
      <w:pPr>
        <w:numPr>
          <w:ilvl w:val="1"/>
          <w:numId w:val="37"/>
        </w:numPr>
        <w:tabs>
          <w:tab w:val="clear" w:pos="1260"/>
          <w:tab w:val="num" w:pos="1134"/>
        </w:tabs>
        <w:spacing w:after="0"/>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00EA1ADC">
        <w:t>rovision (VRP)</w:t>
      </w:r>
    </w:p>
    <w:p w:rsidR="00EA1ADC" w:rsidRPr="003F55A6" w:rsidRDefault="00EA1ADC" w:rsidP="00EA1ADC">
      <w:pPr>
        <w:spacing w:after="0"/>
        <w:ind w:left="1134"/>
      </w:pPr>
    </w:p>
    <w:p w:rsidR="00100D19" w:rsidRDefault="00100D19" w:rsidP="00100D19">
      <w:pPr>
        <w:pStyle w:val="bParagraphtext"/>
      </w:pPr>
      <w:r w:rsidRPr="00100D19">
        <w:t>Table 2 below shows the Council’s CFR as at the 31 March 2016,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100D19" w:rsidRDefault="00100D19" w:rsidP="00100D19">
      <w:pPr>
        <w:spacing w:after="0"/>
        <w:ind w:left="426"/>
        <w:rPr>
          <w:b/>
          <w:color w:val="auto"/>
          <w:lang w:eastAsia="en-US"/>
        </w:rPr>
      </w:pPr>
      <w:r w:rsidRPr="00100D19">
        <w:rPr>
          <w:b/>
          <w:color w:val="auto"/>
          <w:lang w:eastAsia="en-US"/>
        </w:rPr>
        <w:t>Table 2</w:t>
      </w:r>
    </w:p>
    <w:tbl>
      <w:tblPr>
        <w:tblW w:w="7480" w:type="dxa"/>
        <w:tblInd w:w="529" w:type="dxa"/>
        <w:tblLook w:val="04A0" w:firstRow="1" w:lastRow="0" w:firstColumn="1" w:lastColumn="0" w:noHBand="0" w:noVBand="1"/>
      </w:tblPr>
      <w:tblGrid>
        <w:gridCol w:w="3220"/>
        <w:gridCol w:w="1420"/>
        <w:gridCol w:w="1420"/>
        <w:gridCol w:w="1420"/>
      </w:tblGrid>
      <w:tr w:rsidR="00100D19" w:rsidRPr="00100D19" w:rsidTr="00100D19">
        <w:trPr>
          <w:trHeight w:val="6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420" w:type="dxa"/>
            <w:tcBorders>
              <w:top w:val="single" w:sz="4" w:space="0" w:color="auto"/>
              <w:left w:val="single" w:sz="4" w:space="0" w:color="auto"/>
              <w:bottom w:val="nil"/>
              <w:right w:val="single" w:sz="4" w:space="0" w:color="auto"/>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c>
          <w:tcPr>
            <w:tcW w:w="1420" w:type="dxa"/>
            <w:tcBorders>
              <w:top w:val="single" w:sz="4" w:space="0" w:color="auto"/>
              <w:left w:val="nil"/>
              <w:bottom w:val="nil"/>
              <w:right w:val="single" w:sz="4" w:space="0" w:color="auto"/>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c>
          <w:tcPr>
            <w:tcW w:w="1420" w:type="dxa"/>
            <w:tcBorders>
              <w:top w:val="single" w:sz="4" w:space="0" w:color="auto"/>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Variation</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Estimate</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 </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Opening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222,962</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220,706</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(2,256)</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Prudential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3,268</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0</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(3,268)</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Minimum Revenue Provision</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(1,113)</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(1,076)</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 Closing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225,117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220,669</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(4,448)</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External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201,770</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198,528</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(3,242)</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Variation</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(23,347)</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(22,141)</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p>
        </w:tc>
      </w:tr>
    </w:tbl>
    <w:p w:rsidR="00100D19" w:rsidRDefault="00100D19" w:rsidP="00100D19">
      <w:pPr>
        <w:pStyle w:val="bParagraphtext"/>
        <w:numPr>
          <w:ilvl w:val="0"/>
          <w:numId w:val="0"/>
        </w:numPr>
        <w:spacing w:after="0"/>
        <w:ind w:left="425"/>
      </w:pPr>
    </w:p>
    <w:p w:rsidR="00100D19" w:rsidRDefault="00100D19" w:rsidP="00100D19">
      <w:pPr>
        <w:pStyle w:val="bParagraphtext"/>
      </w:pPr>
      <w:r w:rsidRPr="00100D19">
        <w:t>No new debt was taken out during 2015/16 and as at 31 March 2016 the Council’s total external debt was £198.5 million.  This is below the CFR and indicates that the Council continues to internally borrow.  The MRP was reduced from that estimated due to</w:t>
      </w:r>
      <w:r w:rsidR="002F5B4D">
        <w:t>:</w:t>
      </w:r>
      <w:r w:rsidRPr="00100D19">
        <w:t xml:space="preserve"> a</w:t>
      </w:r>
      <w:r w:rsidR="002F5B4D">
        <w:t>)</w:t>
      </w:r>
      <w:r w:rsidRPr="00100D19">
        <w:t xml:space="preserve"> </w:t>
      </w:r>
      <w:r w:rsidR="002F5B4D">
        <w:t>the decision to fund new</w:t>
      </w:r>
      <w:r w:rsidRPr="00100D19">
        <w:t xml:space="preserve"> vehicles from capital receipts </w:t>
      </w:r>
      <w:r w:rsidR="00DA63F7">
        <w:t xml:space="preserve">in 2014/15 </w:t>
      </w:r>
      <w:r w:rsidRPr="00100D19">
        <w:t xml:space="preserve">and </w:t>
      </w:r>
      <w:r w:rsidR="002F5B4D">
        <w:lastRenderedPageBreak/>
        <w:t xml:space="preserve">hence no </w:t>
      </w:r>
      <w:r w:rsidRPr="00100D19">
        <w:t xml:space="preserve">MRP </w:t>
      </w:r>
      <w:r w:rsidR="002F5B4D">
        <w:t>being required</w:t>
      </w:r>
      <w:r w:rsidR="00DA63F7">
        <w:t xml:space="preserve"> for borrowing in relation to vehicles in 2015/16</w:t>
      </w:r>
      <w:r w:rsidR="002F5B4D">
        <w:t xml:space="preserve"> and b)</w:t>
      </w:r>
      <w:r w:rsidRPr="00100D19">
        <w:t xml:space="preserve"> a reduction in the MRP that the Council make</w:t>
      </w:r>
      <w:r w:rsidR="00F817ED">
        <w:t>s</w:t>
      </w:r>
      <w:r w:rsidRPr="00100D19">
        <w:t xml:space="preserve"> on the non-Housing assets transferred from the HRA to the General Fund</w:t>
      </w:r>
      <w:r w:rsidR="00F817ED">
        <w:t xml:space="preserve"> due to a reassessment of the calculation</w:t>
      </w:r>
      <w:r w:rsidRPr="00100D19">
        <w:t>.</w:t>
      </w:r>
    </w:p>
    <w:p w:rsidR="00100D19" w:rsidRPr="00F94D74" w:rsidRDefault="00100D19" w:rsidP="00100D19">
      <w:pPr>
        <w:rPr>
          <w:b/>
          <w:i/>
        </w:rPr>
      </w:pPr>
      <w:r w:rsidRPr="00100D19">
        <w:rPr>
          <w:b/>
        </w:rPr>
        <w:t xml:space="preserve">Treasury Position at </w:t>
      </w:r>
      <w:r w:rsidR="00EA1ADC">
        <w:rPr>
          <w:b/>
        </w:rPr>
        <w:t>31</w:t>
      </w:r>
      <w:r w:rsidRPr="00100D19">
        <w:rPr>
          <w:b/>
        </w:rPr>
        <w:t xml:space="preserve"> March 2016</w:t>
      </w:r>
    </w:p>
    <w:p w:rsidR="00100D19" w:rsidRDefault="00100D19" w:rsidP="00100D19">
      <w:pPr>
        <w:pStyle w:val="bParagraphtext"/>
      </w:pPr>
      <w:r w:rsidRPr="00100D19">
        <w:t>Whilst the Council’s gauge of its underlying need to borrow is the CFR, the treasury function manages the Council’s actual borrowing position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100D19">
      <w:pPr>
        <w:numPr>
          <w:ilvl w:val="1"/>
          <w:numId w:val="37"/>
        </w:numPr>
        <w:spacing w:after="0"/>
        <w:rPr>
          <w:i/>
        </w:rPr>
      </w:pPr>
      <w:r w:rsidRPr="00737EAE">
        <w:t>Borrowing for future increases in the CFR (borrowing in advance of need</w:t>
      </w:r>
      <w:r w:rsidRPr="00737EAE">
        <w:rPr>
          <w:i/>
        </w:rPr>
        <w:t>)</w:t>
      </w:r>
    </w:p>
    <w:p w:rsidR="00100D19" w:rsidRDefault="00100D19" w:rsidP="00100D19">
      <w:pPr>
        <w:pStyle w:val="bParagraphtext"/>
      </w:pPr>
      <w:r w:rsidRPr="00100D19">
        <w:t xml:space="preserve">The Council’s treasury position as at the </w:t>
      </w:r>
      <w:r w:rsidR="00EA1ADC">
        <w:t>31</w:t>
      </w:r>
      <w:r w:rsidRPr="00100D19">
        <w:t xml:space="preserve"> March 2016 for both debt and investments, compared with the previous year is set out in Table 3 below:</w:t>
      </w:r>
    </w:p>
    <w:p w:rsidR="00100D19" w:rsidRDefault="00100D19" w:rsidP="00100D19">
      <w:pPr>
        <w:pStyle w:val="bParagraphtext"/>
        <w:numPr>
          <w:ilvl w:val="0"/>
          <w:numId w:val="0"/>
        </w:numPr>
        <w:spacing w:after="0"/>
        <w:ind w:left="425"/>
      </w:pPr>
    </w:p>
    <w:p w:rsidR="00100D19" w:rsidRPr="00100D19" w:rsidRDefault="00100D19" w:rsidP="00100D19">
      <w:pPr>
        <w:spacing w:after="0"/>
        <w:ind w:left="360"/>
        <w:rPr>
          <w:b/>
          <w:color w:val="auto"/>
          <w:lang w:eastAsia="en-US"/>
        </w:rPr>
      </w:pPr>
      <w:r w:rsidRPr="00100D19">
        <w:rPr>
          <w:b/>
          <w:color w:val="auto"/>
          <w:lang w:eastAsia="en-US"/>
        </w:rPr>
        <w:t>Table 3</w:t>
      </w:r>
    </w:p>
    <w:tbl>
      <w:tblPr>
        <w:tblW w:w="8035" w:type="dxa"/>
        <w:tblInd w:w="720" w:type="dxa"/>
        <w:tblLook w:val="04A0" w:firstRow="1" w:lastRow="0" w:firstColumn="1" w:lastColumn="0" w:noHBand="0" w:noVBand="1"/>
      </w:tblPr>
      <w:tblGrid>
        <w:gridCol w:w="3220"/>
        <w:gridCol w:w="1228"/>
        <w:gridCol w:w="1178"/>
        <w:gridCol w:w="1146"/>
        <w:gridCol w:w="1263"/>
      </w:tblGrid>
      <w:tr w:rsidR="00100D19" w:rsidRPr="00100D19" w:rsidTr="00100D19">
        <w:trPr>
          <w:trHeight w:val="3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2406" w:type="dxa"/>
            <w:gridSpan w:val="2"/>
            <w:tcBorders>
              <w:top w:val="single" w:sz="4" w:space="0" w:color="auto"/>
              <w:left w:val="nil"/>
              <w:bottom w:val="nil"/>
              <w:right w:val="single" w:sz="4" w:space="0" w:color="auto"/>
            </w:tcBorders>
            <w:shd w:val="clear" w:color="000000" w:fill="D9D9D9"/>
            <w:noWrap/>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2015</w:t>
            </w:r>
          </w:p>
        </w:tc>
        <w:tc>
          <w:tcPr>
            <w:tcW w:w="2409" w:type="dxa"/>
            <w:gridSpan w:val="2"/>
            <w:tcBorders>
              <w:top w:val="single" w:sz="4" w:space="0" w:color="auto"/>
              <w:left w:val="nil"/>
              <w:bottom w:val="nil"/>
              <w:right w:val="single" w:sz="4" w:space="0" w:color="auto"/>
            </w:tcBorders>
            <w:shd w:val="clear" w:color="000000" w:fill="D9D9D9"/>
            <w:noWrap/>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Treasury Position</w:t>
            </w:r>
          </w:p>
        </w:tc>
        <w:tc>
          <w:tcPr>
            <w:tcW w:w="1228"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Principal</w:t>
            </w:r>
          </w:p>
        </w:tc>
        <w:tc>
          <w:tcPr>
            <w:tcW w:w="1178"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Average Rate</w:t>
            </w:r>
          </w:p>
        </w:tc>
        <w:tc>
          <w:tcPr>
            <w:tcW w:w="1146"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Principal</w:t>
            </w:r>
          </w:p>
        </w:tc>
        <w:tc>
          <w:tcPr>
            <w:tcW w:w="1263"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Average Rate</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228"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178"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w:t>
            </w:r>
          </w:p>
        </w:tc>
        <w:tc>
          <w:tcPr>
            <w:tcW w:w="1146"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263"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Borrowing</w:t>
            </w:r>
          </w:p>
        </w:tc>
        <w:tc>
          <w:tcPr>
            <w:tcW w:w="122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7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46"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263"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Fixed Interest Rate Debt</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199,423</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3.39</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198,528</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3.15</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Total Debt</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199,423</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3.39</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198,528</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3.15</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22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7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Investments</w:t>
            </w:r>
          </w:p>
        </w:tc>
        <w:tc>
          <w:tcPr>
            <w:tcW w:w="122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78" w:type="dxa"/>
            <w:tcBorders>
              <w:top w:val="nil"/>
              <w:left w:val="nil"/>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Fixed Interest Investments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35,200</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0.53</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46,500</w:t>
            </w:r>
          </w:p>
        </w:tc>
        <w:tc>
          <w:tcPr>
            <w:tcW w:w="1263" w:type="dxa"/>
            <w:tcBorders>
              <w:top w:val="nil"/>
              <w:left w:val="nil"/>
              <w:bottom w:val="nil"/>
              <w:right w:val="single" w:sz="4" w:space="0" w:color="auto"/>
            </w:tcBorders>
            <w:shd w:val="clear" w:color="auto" w:fill="auto"/>
            <w:noWrap/>
            <w:vAlign w:val="bottom"/>
          </w:tcPr>
          <w:p w:rsidR="00100D19" w:rsidRPr="00100D19" w:rsidRDefault="00643CC2" w:rsidP="00100D19">
            <w:pPr>
              <w:spacing w:after="0"/>
              <w:jc w:val="right"/>
              <w:rPr>
                <w:rFonts w:cs="Arial"/>
                <w:color w:val="auto"/>
                <w:sz w:val="22"/>
                <w:szCs w:val="22"/>
              </w:rPr>
            </w:pPr>
            <w:r>
              <w:rPr>
                <w:rFonts w:cs="Arial"/>
                <w:color w:val="auto"/>
                <w:sz w:val="22"/>
                <w:szCs w:val="22"/>
              </w:rPr>
              <w:t>0</w:t>
            </w:r>
            <w:r w:rsidR="00100D19" w:rsidRPr="00100D19">
              <w:rPr>
                <w:rFonts w:cs="Arial"/>
                <w:color w:val="auto"/>
                <w:sz w:val="22"/>
                <w:szCs w:val="22"/>
              </w:rPr>
              <w:t>.64</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Variable Interest Investments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5,890</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0.42</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7,760</w:t>
            </w:r>
          </w:p>
        </w:tc>
        <w:tc>
          <w:tcPr>
            <w:tcW w:w="1263" w:type="dxa"/>
            <w:tcBorders>
              <w:top w:val="nil"/>
              <w:left w:val="nil"/>
              <w:bottom w:val="nil"/>
              <w:right w:val="single" w:sz="4" w:space="0" w:color="auto"/>
            </w:tcBorders>
            <w:shd w:val="clear" w:color="auto" w:fill="auto"/>
            <w:noWrap/>
            <w:vAlign w:val="bottom"/>
          </w:tcPr>
          <w:p w:rsidR="00100D19" w:rsidRPr="00100D19" w:rsidRDefault="00643CC2" w:rsidP="00100D19">
            <w:pPr>
              <w:spacing w:after="0"/>
              <w:jc w:val="right"/>
              <w:rPr>
                <w:rFonts w:cs="Arial"/>
                <w:color w:val="auto"/>
                <w:sz w:val="22"/>
                <w:szCs w:val="22"/>
              </w:rPr>
            </w:pPr>
            <w:r>
              <w:rPr>
                <w:rFonts w:cs="Arial"/>
                <w:color w:val="auto"/>
                <w:sz w:val="22"/>
                <w:szCs w:val="22"/>
              </w:rPr>
              <w:t>0</w:t>
            </w:r>
            <w:r w:rsidR="00100D19" w:rsidRPr="00100D19">
              <w:rPr>
                <w:rFonts w:cs="Arial"/>
                <w:color w:val="auto"/>
                <w:sz w:val="22"/>
                <w:szCs w:val="22"/>
              </w:rPr>
              <w:t>.44</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tcPr>
          <w:p w:rsidR="00100D19" w:rsidRPr="00100D19" w:rsidRDefault="00100D19" w:rsidP="00100D19">
            <w:pPr>
              <w:spacing w:after="0"/>
              <w:rPr>
                <w:rFonts w:cs="Arial"/>
                <w:bCs/>
                <w:color w:val="auto"/>
                <w:sz w:val="22"/>
                <w:szCs w:val="22"/>
              </w:rPr>
            </w:pPr>
            <w:r w:rsidRPr="00100D19">
              <w:rPr>
                <w:rFonts w:cs="Arial"/>
                <w:bCs/>
                <w:color w:val="auto"/>
                <w:sz w:val="22"/>
                <w:szCs w:val="22"/>
              </w:rPr>
              <w:t>Property Funds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Cs/>
                <w:color w:val="auto"/>
                <w:sz w:val="22"/>
                <w:szCs w:val="22"/>
              </w:rPr>
            </w:pPr>
            <w:r w:rsidRPr="00100D19">
              <w:rPr>
                <w:rFonts w:cs="Arial"/>
                <w:bCs/>
                <w:color w:val="auto"/>
                <w:sz w:val="22"/>
                <w:szCs w:val="22"/>
              </w:rPr>
              <w:t>9,800</w:t>
            </w:r>
          </w:p>
        </w:tc>
        <w:tc>
          <w:tcPr>
            <w:tcW w:w="1178" w:type="dxa"/>
            <w:tcBorders>
              <w:top w:val="nil"/>
              <w:left w:val="nil"/>
              <w:bottom w:val="nil"/>
              <w:right w:val="single" w:sz="4" w:space="0" w:color="auto"/>
            </w:tcBorders>
            <w:shd w:val="clear" w:color="auto" w:fill="auto"/>
            <w:noWrap/>
            <w:vAlign w:val="bottom"/>
          </w:tcPr>
          <w:p w:rsidR="00100D19" w:rsidRPr="00100D19" w:rsidRDefault="00643CC2" w:rsidP="00643CC2">
            <w:pPr>
              <w:spacing w:after="0"/>
              <w:jc w:val="right"/>
              <w:rPr>
                <w:rFonts w:cs="Arial"/>
                <w:bCs/>
                <w:color w:val="auto"/>
                <w:sz w:val="22"/>
                <w:szCs w:val="22"/>
              </w:rPr>
            </w:pPr>
            <w:r>
              <w:rPr>
                <w:rFonts w:cs="Arial"/>
                <w:bCs/>
                <w:color w:val="auto"/>
                <w:sz w:val="22"/>
                <w:szCs w:val="22"/>
              </w:rPr>
              <w:t>4.03</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Cs/>
                <w:color w:val="auto"/>
                <w:sz w:val="22"/>
                <w:szCs w:val="22"/>
              </w:rPr>
            </w:pPr>
            <w:r w:rsidRPr="00100D19">
              <w:rPr>
                <w:rFonts w:cs="Arial"/>
                <w:bCs/>
                <w:color w:val="auto"/>
                <w:sz w:val="22"/>
                <w:szCs w:val="22"/>
              </w:rPr>
              <w:t>10,000</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Cs/>
                <w:color w:val="auto"/>
                <w:sz w:val="22"/>
                <w:szCs w:val="22"/>
              </w:rPr>
            </w:pPr>
            <w:r w:rsidRPr="00100D19">
              <w:rPr>
                <w:rFonts w:cs="Arial"/>
                <w:bCs/>
                <w:color w:val="auto"/>
                <w:sz w:val="22"/>
                <w:szCs w:val="22"/>
              </w:rPr>
              <w:t>4.05</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Total Investments</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50,890</w:t>
            </w: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1.18</w:t>
            </w: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64,260</w:t>
            </w: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1.17</w:t>
            </w:r>
          </w:p>
        </w:tc>
      </w:tr>
      <w:tr w:rsidR="00100D19" w:rsidRPr="00100D19" w:rsidTr="00100D19">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22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Position</w:t>
            </w:r>
          </w:p>
        </w:tc>
        <w:tc>
          <w:tcPr>
            <w:tcW w:w="1228"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148,533</w:t>
            </w:r>
          </w:p>
        </w:tc>
        <w:tc>
          <w:tcPr>
            <w:tcW w:w="1178"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p>
        </w:tc>
        <w:tc>
          <w:tcPr>
            <w:tcW w:w="1146"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134,268</w:t>
            </w:r>
          </w:p>
        </w:tc>
        <w:tc>
          <w:tcPr>
            <w:tcW w:w="1263"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p>
        </w:tc>
      </w:tr>
    </w:tbl>
    <w:p w:rsidR="00301501" w:rsidRDefault="00301501" w:rsidP="00100D19">
      <w:pPr>
        <w:pStyle w:val="bParagraphtext"/>
        <w:numPr>
          <w:ilvl w:val="0"/>
          <w:numId w:val="0"/>
        </w:numPr>
        <w:spacing w:after="0"/>
        <w:ind w:left="425"/>
      </w:pPr>
    </w:p>
    <w:p w:rsidR="00100D19" w:rsidRDefault="00301501" w:rsidP="00100D19">
      <w:pPr>
        <w:pStyle w:val="bParagraphtext"/>
        <w:numPr>
          <w:ilvl w:val="0"/>
          <w:numId w:val="0"/>
        </w:numPr>
        <w:spacing w:after="0"/>
        <w:ind w:left="425"/>
      </w:pPr>
      <w:r>
        <w:t xml:space="preserve">The average investment rate shown above is 1.17% for 2015/16 which is above the Council’s target of 0.5% above base rate (1% in total).  Despite this, the Council did not achieve the level of investment income that had been budgeted by £0.080 million.  This is because the budget had incorporated anticipated rises in base rates which </w:t>
      </w:r>
      <w:proofErr w:type="gramStart"/>
      <w:r>
        <w:t>was</w:t>
      </w:r>
      <w:proofErr w:type="gramEnd"/>
      <w:r>
        <w:t xml:space="preserve"> the market intelligence at the time the budgets were set.  The lack of a base rate rise had led to the situation of the budgeted income not being achieved even though performance against the target of 0.5% above base rate was achieved.</w:t>
      </w:r>
    </w:p>
    <w:p w:rsidR="00100D19" w:rsidRPr="001356F1" w:rsidRDefault="00100D19" w:rsidP="00100D19">
      <w:pPr>
        <w:spacing w:before="240"/>
        <w:outlineLvl w:val="0"/>
        <w:rPr>
          <w:b/>
        </w:rPr>
      </w:pPr>
      <w:r w:rsidRPr="00100D19">
        <w:rPr>
          <w:b/>
        </w:rPr>
        <w:t>Prudential Indicators and Compliance Issues</w:t>
      </w:r>
    </w:p>
    <w:p w:rsidR="00100D19" w:rsidRDefault="00100D19" w:rsidP="00100D19">
      <w:pPr>
        <w:pStyle w:val="bParagraphtext"/>
      </w:pPr>
      <w:r w:rsidRPr="00100D19">
        <w:t>Some of the prudential indicators provide an overview, others a specific limit on treasury activity.  These are detailed below:</w:t>
      </w:r>
    </w:p>
    <w:p w:rsidR="00BE24E6" w:rsidRPr="00EA1ADC" w:rsidRDefault="00100D19" w:rsidP="00EA1ADC">
      <w:pPr>
        <w:pStyle w:val="bParagraphtext"/>
      </w:pPr>
      <w:r w:rsidRPr="00100D19">
        <w:rPr>
          <w:b/>
          <w:i/>
        </w:rPr>
        <w:t>Net Borrowing and the CFR</w:t>
      </w:r>
      <w:r w:rsidRPr="00100D19">
        <w:t xml:space="preserve"> – In order to ensure that borrowing levels are prudent, the Council’s external borrowing (net of investments) over the medium-</w:t>
      </w:r>
      <w:r w:rsidRPr="00100D19">
        <w:lastRenderedPageBreak/>
        <w:t>term must only be for a capital purpose, and not exceed the CFR except in the short-term.  In the short term the Council can borrow for cash</w:t>
      </w:r>
      <w:r w:rsidR="00B80611">
        <w:t xml:space="preserve"> </w:t>
      </w:r>
      <w:r w:rsidRPr="00100D19">
        <w:t>flow purposes, although this has not been necessary in recent years.  Table 4 below highlights the Council’s net borrowing position against the CFR, and shows that it is significantly below the limit, due to the level of internal borrowing that has been undertaken.</w:t>
      </w:r>
    </w:p>
    <w:p w:rsidR="00BE24E6" w:rsidRDefault="00BE24E6" w:rsidP="00100D19">
      <w:pPr>
        <w:spacing w:after="0"/>
        <w:ind w:left="360"/>
        <w:rPr>
          <w:b/>
          <w:color w:val="auto"/>
          <w:lang w:eastAsia="en-US"/>
        </w:rPr>
      </w:pPr>
    </w:p>
    <w:p w:rsidR="00100D19" w:rsidRPr="00100D19" w:rsidRDefault="00100D19" w:rsidP="00100D19">
      <w:pPr>
        <w:spacing w:after="0"/>
        <w:ind w:left="360"/>
        <w:rPr>
          <w:b/>
          <w:color w:val="auto"/>
          <w:lang w:eastAsia="en-US"/>
        </w:rPr>
      </w:pPr>
      <w:r w:rsidRPr="00100D19">
        <w:rPr>
          <w:b/>
          <w:color w:val="auto"/>
          <w:lang w:eastAsia="en-US"/>
        </w:rPr>
        <w:t>Table 4</w:t>
      </w:r>
    </w:p>
    <w:tbl>
      <w:tblPr>
        <w:tblW w:w="6300" w:type="dxa"/>
        <w:tblInd w:w="720" w:type="dxa"/>
        <w:tblLook w:val="04A0" w:firstRow="1" w:lastRow="0" w:firstColumn="1" w:lastColumn="0" w:noHBand="0" w:noVBand="1"/>
      </w:tblPr>
      <w:tblGrid>
        <w:gridCol w:w="3228"/>
        <w:gridCol w:w="1536"/>
        <w:gridCol w:w="1536"/>
      </w:tblGrid>
      <w:tr w:rsidR="00100D19" w:rsidRPr="00100D19" w:rsidTr="00100D19">
        <w:trPr>
          <w:trHeight w:val="600"/>
        </w:trPr>
        <w:tc>
          <w:tcPr>
            <w:tcW w:w="3228" w:type="dxa"/>
            <w:tcBorders>
              <w:top w:val="single" w:sz="4" w:space="0" w:color="auto"/>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&amp; CFR</w:t>
            </w:r>
          </w:p>
        </w:tc>
        <w:tc>
          <w:tcPr>
            <w:tcW w:w="1536" w:type="dxa"/>
            <w:tcBorders>
              <w:top w:val="single" w:sz="4" w:space="0" w:color="auto"/>
              <w:left w:val="nil"/>
              <w:bottom w:val="nil"/>
              <w:right w:val="nil"/>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2015</w:t>
            </w:r>
          </w:p>
        </w:tc>
        <w:tc>
          <w:tcPr>
            <w:tcW w:w="1536" w:type="dxa"/>
            <w:tcBorders>
              <w:top w:val="single" w:sz="4" w:space="0" w:color="auto"/>
              <w:left w:val="nil"/>
              <w:bottom w:val="nil"/>
              <w:right w:val="single" w:sz="4" w:space="0" w:color="auto"/>
            </w:tcBorders>
            <w:shd w:val="clear" w:color="000000" w:fill="D9D9D9"/>
            <w:vAlign w:val="bottom"/>
            <w:hideMark/>
          </w:tcPr>
          <w:p w:rsidR="00100D19" w:rsidRPr="00100D19" w:rsidRDefault="00EA1ADC" w:rsidP="00100D19">
            <w:pPr>
              <w:spacing w:after="0"/>
              <w:jc w:val="center"/>
              <w:rPr>
                <w:rFonts w:cs="Arial"/>
                <w:b/>
                <w:bCs/>
                <w:color w:val="auto"/>
                <w:sz w:val="22"/>
                <w:szCs w:val="22"/>
              </w:rPr>
            </w:pPr>
            <w:r>
              <w:rPr>
                <w:rFonts w:cs="Arial"/>
                <w:b/>
                <w:bCs/>
                <w:color w:val="auto"/>
                <w:sz w:val="22"/>
                <w:szCs w:val="22"/>
              </w:rPr>
              <w:t>31</w:t>
            </w:r>
            <w:r w:rsidR="00100D19" w:rsidRPr="00100D19">
              <w:rPr>
                <w:rFonts w:cs="Arial"/>
                <w:b/>
                <w:bCs/>
                <w:color w:val="auto"/>
                <w:sz w:val="22"/>
                <w:szCs w:val="22"/>
              </w:rPr>
              <w:t xml:space="preserve"> March 2016</w:t>
            </w:r>
          </w:p>
        </w:tc>
      </w:tr>
      <w:tr w:rsidR="00100D19" w:rsidRPr="00100D19" w:rsidTr="00100D19">
        <w:trPr>
          <w:trHeight w:val="300"/>
        </w:trPr>
        <w:tc>
          <w:tcPr>
            <w:tcW w:w="3228" w:type="dxa"/>
            <w:tcBorders>
              <w:top w:val="nil"/>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nil"/>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536"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single" w:sz="4" w:space="0" w:color="auto"/>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536"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Debt</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199,423</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198,528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Investment</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50,890</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64,260</w:t>
            </w: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Position</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148,533</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134,268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rPr>
                <w:rFonts w:cs="Arial"/>
                <w:color w:val="auto"/>
                <w:sz w:val="22"/>
                <w:szCs w:val="22"/>
              </w:rPr>
            </w:pP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220,706</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220,669</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Under Borrowing</w:t>
            </w:r>
            <w:r w:rsidR="0037743F">
              <w:rPr>
                <w:rFonts w:cs="Arial"/>
                <w:b/>
                <w:bCs/>
                <w:color w:val="auto"/>
                <w:sz w:val="22"/>
                <w:szCs w:val="22"/>
              </w:rPr>
              <w:t xml:space="preserve"> plus Investments</w:t>
            </w:r>
          </w:p>
        </w:tc>
        <w:tc>
          <w:tcPr>
            <w:tcW w:w="1536" w:type="dxa"/>
            <w:tcBorders>
              <w:top w:val="nil"/>
              <w:left w:val="nil"/>
              <w:bottom w:val="single" w:sz="4" w:space="0" w:color="auto"/>
              <w:right w:val="nil"/>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72,173</w:t>
            </w:r>
          </w:p>
        </w:tc>
        <w:tc>
          <w:tcPr>
            <w:tcW w:w="1536" w:type="dxa"/>
            <w:tcBorders>
              <w:top w:val="nil"/>
              <w:left w:val="nil"/>
              <w:bottom w:val="single" w:sz="4" w:space="0" w:color="auto"/>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86,401</w:t>
            </w:r>
          </w:p>
        </w:tc>
      </w:tr>
    </w:tbl>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Therefore, forfeiting interest receivable on investments is more economical than paying additional interest charges for new external debt.  Clearly, if the net borrowing position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  Table 5 below demonstrates that during 2015/16 the Council’s gross borrowing was within its Authorised Limit.  The Authorised Limit allows the Council to borrow against the future CFR if required, with a little headroom.</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665B3">
        <w:rPr>
          <w:b/>
          <w:color w:val="auto"/>
          <w:lang w:eastAsia="en-US"/>
        </w:rPr>
        <w:t>Table 5</w:t>
      </w:r>
    </w:p>
    <w:tbl>
      <w:tblPr>
        <w:tblW w:w="7943" w:type="dxa"/>
        <w:tblInd w:w="720" w:type="dxa"/>
        <w:tblLook w:val="04A0" w:firstRow="1" w:lastRow="0" w:firstColumn="1" w:lastColumn="0" w:noHBand="0" w:noVBand="1"/>
      </w:tblPr>
      <w:tblGrid>
        <w:gridCol w:w="2840"/>
        <w:gridCol w:w="1276"/>
        <w:gridCol w:w="1276"/>
        <w:gridCol w:w="1276"/>
        <w:gridCol w:w="1275"/>
      </w:tblGrid>
      <w:tr w:rsidR="00D665B3" w:rsidRPr="00D665B3" w:rsidTr="00D665B3">
        <w:trPr>
          <w:trHeight w:val="600"/>
        </w:trPr>
        <w:tc>
          <w:tcPr>
            <w:tcW w:w="284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Authorised Borrowing</w:t>
            </w:r>
          </w:p>
        </w:tc>
        <w:tc>
          <w:tcPr>
            <w:tcW w:w="2552" w:type="dxa"/>
            <w:gridSpan w:val="2"/>
            <w:tcBorders>
              <w:top w:val="single" w:sz="4" w:space="0" w:color="auto"/>
              <w:left w:val="single" w:sz="4" w:space="0" w:color="auto"/>
              <w:bottom w:val="nil"/>
              <w:right w:val="single" w:sz="4" w:space="0" w:color="000000"/>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2015</w:t>
            </w:r>
          </w:p>
        </w:tc>
        <w:tc>
          <w:tcPr>
            <w:tcW w:w="2551" w:type="dxa"/>
            <w:gridSpan w:val="2"/>
            <w:tcBorders>
              <w:top w:val="single" w:sz="4" w:space="0" w:color="auto"/>
              <w:left w:val="nil"/>
              <w:bottom w:val="nil"/>
              <w:right w:val="single" w:sz="4" w:space="0" w:color="000000"/>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2016</w:t>
            </w:r>
          </w:p>
        </w:tc>
      </w:tr>
      <w:tr w:rsidR="00D665B3" w:rsidRPr="00D665B3" w:rsidTr="00D665B3">
        <w:trPr>
          <w:trHeight w:val="300"/>
        </w:trPr>
        <w:tc>
          <w:tcPr>
            <w:tcW w:w="2840" w:type="dxa"/>
            <w:tcBorders>
              <w:top w:val="nil"/>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Estimate</w:t>
            </w:r>
          </w:p>
        </w:tc>
        <w:tc>
          <w:tcPr>
            <w:tcW w:w="1276" w:type="dxa"/>
            <w:tcBorders>
              <w:top w:val="nil"/>
              <w:left w:val="nil"/>
              <w:bottom w:val="nil"/>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Actual</w:t>
            </w:r>
          </w:p>
        </w:tc>
        <w:tc>
          <w:tcPr>
            <w:tcW w:w="1276" w:type="dxa"/>
            <w:tcBorders>
              <w:top w:val="nil"/>
              <w:left w:val="nil"/>
              <w:bottom w:val="nil"/>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Estimate</w:t>
            </w:r>
          </w:p>
        </w:tc>
        <w:tc>
          <w:tcPr>
            <w:tcW w:w="1275" w:type="dxa"/>
            <w:tcBorders>
              <w:top w:val="nil"/>
              <w:left w:val="nil"/>
              <w:bottom w:val="nil"/>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Actual</w:t>
            </w: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5"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284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276" w:type="dxa"/>
            <w:tcBorders>
              <w:top w:val="single" w:sz="4" w:space="0" w:color="auto"/>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247,000</w:t>
            </w:r>
          </w:p>
        </w:tc>
        <w:tc>
          <w:tcPr>
            <w:tcW w:w="1276" w:type="dxa"/>
            <w:tcBorders>
              <w:top w:val="single" w:sz="4" w:space="0" w:color="auto"/>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199,423</w:t>
            </w:r>
          </w:p>
        </w:tc>
        <w:tc>
          <w:tcPr>
            <w:tcW w:w="1276" w:type="dxa"/>
            <w:tcBorders>
              <w:top w:val="single" w:sz="4" w:space="0" w:color="auto"/>
              <w:left w:val="nil"/>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247,566</w:t>
            </w:r>
          </w:p>
        </w:tc>
        <w:tc>
          <w:tcPr>
            <w:tcW w:w="1275" w:type="dxa"/>
            <w:tcBorders>
              <w:top w:val="single" w:sz="4" w:space="0" w:color="auto"/>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 Borrowed</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247,000</w:t>
            </w: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199,423</w:t>
            </w: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247,566</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Amount under Limit</w:t>
            </w:r>
          </w:p>
        </w:tc>
        <w:tc>
          <w:tcPr>
            <w:tcW w:w="2552" w:type="dxa"/>
            <w:gridSpan w:val="2"/>
            <w:tcBorders>
              <w:top w:val="nil"/>
              <w:left w:val="single" w:sz="4" w:space="0" w:color="auto"/>
              <w:bottom w:val="single" w:sz="4" w:space="0" w:color="auto"/>
              <w:right w:val="single" w:sz="4" w:space="0" w:color="000000"/>
            </w:tcBorders>
            <w:shd w:val="clear" w:color="auto" w:fill="auto"/>
            <w:noWrap/>
            <w:vAlign w:val="bottom"/>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47,577</w:t>
            </w:r>
          </w:p>
        </w:tc>
        <w:tc>
          <w:tcPr>
            <w:tcW w:w="2551" w:type="dxa"/>
            <w:gridSpan w:val="2"/>
            <w:tcBorders>
              <w:top w:val="nil"/>
              <w:left w:val="nil"/>
              <w:bottom w:val="single" w:sz="4" w:space="0" w:color="auto"/>
              <w:right w:val="single" w:sz="4" w:space="0" w:color="000000"/>
            </w:tcBorders>
            <w:shd w:val="clear" w:color="auto" w:fill="auto"/>
            <w:noWrap/>
            <w:vAlign w:val="bottom"/>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49,038</w:t>
            </w:r>
          </w:p>
        </w:tc>
      </w:tr>
    </w:tbl>
    <w:p w:rsidR="00D665B3" w:rsidRPr="00D665B3" w:rsidRDefault="00D665B3" w:rsidP="00D665B3">
      <w:pPr>
        <w:pStyle w:val="bParagraphtext"/>
        <w:numPr>
          <w:ilvl w:val="0"/>
          <w:numId w:val="0"/>
        </w:numPr>
        <w:spacing w:after="0"/>
        <w:ind w:left="425"/>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w:t>
      </w:r>
      <w:r w:rsidRPr="00D665B3">
        <w:lastRenderedPageBreak/>
        <w:t>Authorised Borrowing Limit is not breached.  Table 6 below shows the limits for the last two financial years.  They were not breached during either period.</w:t>
      </w:r>
    </w:p>
    <w:p w:rsidR="00890146" w:rsidRPr="00D665B3" w:rsidRDefault="00890146" w:rsidP="00EA1ADC">
      <w:pPr>
        <w:pStyle w:val="bParagraphtext"/>
        <w:numPr>
          <w:ilvl w:val="0"/>
          <w:numId w:val="0"/>
        </w:numPr>
        <w:spacing w:after="0"/>
      </w:pPr>
    </w:p>
    <w:p w:rsidR="00D665B3" w:rsidRPr="00D665B3" w:rsidRDefault="00D665B3" w:rsidP="00D665B3">
      <w:pPr>
        <w:spacing w:after="0"/>
        <w:ind w:left="360"/>
        <w:rPr>
          <w:b/>
          <w:color w:val="auto"/>
          <w:lang w:eastAsia="en-US"/>
        </w:rPr>
      </w:pPr>
      <w:r w:rsidRPr="00D665B3">
        <w:rPr>
          <w:b/>
          <w:color w:val="auto"/>
          <w:lang w:eastAsia="en-US"/>
        </w:rPr>
        <w:t>Table 6</w:t>
      </w:r>
    </w:p>
    <w:tbl>
      <w:tblPr>
        <w:tblW w:w="6300" w:type="dxa"/>
        <w:tblInd w:w="720" w:type="dxa"/>
        <w:tblLook w:val="04A0" w:firstRow="1" w:lastRow="0" w:firstColumn="1" w:lastColumn="0" w:noHBand="0" w:noVBand="1"/>
      </w:tblPr>
      <w:tblGrid>
        <w:gridCol w:w="3220"/>
        <w:gridCol w:w="1540"/>
        <w:gridCol w:w="1540"/>
      </w:tblGrid>
      <w:tr w:rsidR="00D665B3" w:rsidRPr="00D665B3" w:rsidTr="00D665B3">
        <w:trPr>
          <w:trHeight w:val="600"/>
        </w:trPr>
        <w:tc>
          <w:tcPr>
            <w:tcW w:w="322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Operational Boundaries</w:t>
            </w:r>
          </w:p>
        </w:tc>
        <w:tc>
          <w:tcPr>
            <w:tcW w:w="1540" w:type="dxa"/>
            <w:tcBorders>
              <w:top w:val="single" w:sz="4" w:space="0" w:color="auto"/>
              <w:left w:val="single" w:sz="4" w:space="0" w:color="auto"/>
              <w:bottom w:val="nil"/>
              <w:right w:val="nil"/>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2015</w:t>
            </w:r>
          </w:p>
        </w:tc>
        <w:tc>
          <w:tcPr>
            <w:tcW w:w="1540" w:type="dxa"/>
            <w:tcBorders>
              <w:top w:val="single" w:sz="4" w:space="0" w:color="auto"/>
              <w:left w:val="single" w:sz="4" w:space="0" w:color="auto"/>
              <w:bottom w:val="nil"/>
              <w:right w:val="single" w:sz="4" w:space="0" w:color="auto"/>
            </w:tcBorders>
            <w:shd w:val="clear" w:color="000000" w:fill="D9D9D9"/>
            <w:vAlign w:val="bottom"/>
            <w:hideMark/>
          </w:tcPr>
          <w:p w:rsidR="00D665B3" w:rsidRPr="00D665B3" w:rsidRDefault="00EA1ADC" w:rsidP="00D665B3">
            <w:pPr>
              <w:spacing w:after="0"/>
              <w:jc w:val="center"/>
              <w:rPr>
                <w:rFonts w:cs="Arial"/>
                <w:b/>
                <w:bCs/>
                <w:color w:val="auto"/>
                <w:sz w:val="22"/>
                <w:szCs w:val="22"/>
              </w:rPr>
            </w:pPr>
            <w:r>
              <w:rPr>
                <w:rFonts w:cs="Arial"/>
                <w:b/>
                <w:bCs/>
                <w:color w:val="auto"/>
                <w:sz w:val="22"/>
                <w:szCs w:val="22"/>
              </w:rPr>
              <w:t>31</w:t>
            </w:r>
            <w:r w:rsidR="00D665B3" w:rsidRPr="00D665B3">
              <w:rPr>
                <w:rFonts w:cs="Arial"/>
                <w:b/>
                <w:bCs/>
                <w:color w:val="auto"/>
                <w:sz w:val="22"/>
                <w:szCs w:val="22"/>
              </w:rPr>
              <w:t xml:space="preserve"> March 2016</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322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540" w:type="dxa"/>
            <w:tcBorders>
              <w:top w:val="single" w:sz="4" w:space="0" w:color="auto"/>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236,000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234,000</w:t>
            </w:r>
          </w:p>
        </w:tc>
      </w:tr>
      <w:tr w:rsidR="00D665B3" w:rsidRPr="00D665B3" w:rsidTr="00D665B3">
        <w:trPr>
          <w:trHeight w:val="285"/>
        </w:trPr>
        <w:tc>
          <w:tcPr>
            <w:tcW w:w="322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540"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Totals</w:t>
            </w:r>
          </w:p>
        </w:tc>
        <w:tc>
          <w:tcPr>
            <w:tcW w:w="1540" w:type="dxa"/>
            <w:tcBorders>
              <w:top w:val="nil"/>
              <w:left w:val="single" w:sz="4" w:space="0" w:color="auto"/>
              <w:bottom w:val="single" w:sz="4" w:space="0" w:color="auto"/>
              <w:right w:val="nil"/>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236,000</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234,000</w:t>
            </w:r>
          </w:p>
        </w:tc>
      </w:tr>
    </w:tbl>
    <w:p w:rsidR="00D665B3" w:rsidRPr="00D665B3" w:rsidRDefault="00D665B3" w:rsidP="00D665B3">
      <w:pPr>
        <w:pStyle w:val="bParagraphtext"/>
        <w:numPr>
          <w:ilvl w:val="0"/>
          <w:numId w:val="0"/>
        </w:numPr>
        <w:spacing w:after="0"/>
        <w:ind w:left="425"/>
      </w:pPr>
    </w:p>
    <w:p w:rsidR="00D665B3" w:rsidRDefault="00D665B3" w:rsidP="00100D19">
      <w:pPr>
        <w:pStyle w:val="bParagraphtext"/>
      </w:pPr>
      <w:r w:rsidRPr="00D665B3">
        <w:rPr>
          <w:b/>
          <w:i/>
        </w:rPr>
        <w:t>Actual financing costs as a proportion of net revenue stream</w:t>
      </w:r>
      <w:r w:rsidRPr="00D665B3">
        <w:t xml:space="preserve"> – this indicator identifies the trend in the net cost of capital against the net revenue stream and is an indicator of affordability.  Table 7 below shows that for the General Fund, the ratio is negative as</w:t>
      </w:r>
      <w:r w:rsidR="00025838">
        <w:t xml:space="preserve"> external </w:t>
      </w:r>
      <w:r w:rsidRPr="00D665B3">
        <w:t xml:space="preserve">loans have been repaid and investment income is positive.  The HRA ratio has improved slightly due to </w:t>
      </w:r>
      <w:r w:rsidR="003948AC">
        <w:t xml:space="preserve">an increasing income stream meaning that </w:t>
      </w:r>
      <w:r w:rsidR="00062FC9">
        <w:t xml:space="preserve">financing </w:t>
      </w:r>
      <w:r w:rsidR="003948AC">
        <w:t>costs as a proportion have fallen.</w:t>
      </w:r>
    </w:p>
    <w:p w:rsidR="00D665B3" w:rsidRDefault="00D665B3"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665B3">
        <w:rPr>
          <w:b/>
          <w:color w:val="auto"/>
          <w:lang w:eastAsia="en-US"/>
        </w:rPr>
        <w:t>Table 7</w:t>
      </w:r>
    </w:p>
    <w:tbl>
      <w:tblPr>
        <w:tblW w:w="8620" w:type="dxa"/>
        <w:tblInd w:w="103" w:type="dxa"/>
        <w:tblLook w:val="04A0" w:firstRow="1" w:lastRow="0" w:firstColumn="1" w:lastColumn="0" w:noHBand="0" w:noVBand="1"/>
      </w:tblPr>
      <w:tblGrid>
        <w:gridCol w:w="5540"/>
        <w:gridCol w:w="1540"/>
        <w:gridCol w:w="1540"/>
      </w:tblGrid>
      <w:tr w:rsidR="00D665B3" w:rsidRPr="00D665B3" w:rsidTr="00D665B3">
        <w:trPr>
          <w:trHeight w:val="300"/>
        </w:trPr>
        <w:tc>
          <w:tcPr>
            <w:tcW w:w="5540" w:type="dxa"/>
            <w:tcBorders>
              <w:top w:val="single" w:sz="4" w:space="0" w:color="auto"/>
              <w:left w:val="single" w:sz="4" w:space="0" w:color="auto"/>
              <w:bottom w:val="nil"/>
              <w:right w:val="single" w:sz="4" w:space="0" w:color="auto"/>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Actual Finance Costs</w:t>
            </w:r>
          </w:p>
        </w:tc>
        <w:tc>
          <w:tcPr>
            <w:tcW w:w="1540" w:type="dxa"/>
            <w:tcBorders>
              <w:top w:val="single" w:sz="4" w:space="0" w:color="auto"/>
              <w:left w:val="nil"/>
              <w:bottom w:val="nil"/>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2014/15</w:t>
            </w:r>
          </w:p>
        </w:tc>
        <w:tc>
          <w:tcPr>
            <w:tcW w:w="1540" w:type="dxa"/>
            <w:tcBorders>
              <w:top w:val="single" w:sz="4" w:space="0" w:color="auto"/>
              <w:left w:val="nil"/>
              <w:bottom w:val="nil"/>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2015/16</w:t>
            </w:r>
          </w:p>
        </w:tc>
      </w:tr>
      <w:tr w:rsidR="00D665B3" w:rsidRPr="00D665B3" w:rsidTr="00D665B3">
        <w:trPr>
          <w:trHeight w:val="300"/>
        </w:trPr>
        <w:tc>
          <w:tcPr>
            <w:tcW w:w="5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nil"/>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540"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300"/>
        </w:trPr>
        <w:tc>
          <w:tcPr>
            <w:tcW w:w="554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Indicators</w:t>
            </w:r>
          </w:p>
        </w:tc>
        <w:tc>
          <w:tcPr>
            <w:tcW w:w="1540" w:type="dxa"/>
            <w:tcBorders>
              <w:top w:val="nil"/>
              <w:left w:val="single" w:sz="4" w:space="0" w:color="auto"/>
              <w:bottom w:val="nil"/>
              <w:right w:val="single" w:sz="4" w:space="0" w:color="auto"/>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r>
      <w:tr w:rsidR="00D665B3" w:rsidRPr="00D665B3"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Original Indicator - Authorised Limit</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247,000</w:t>
            </w: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247,566</w:t>
            </w:r>
          </w:p>
        </w:tc>
      </w:tr>
      <w:tr w:rsidR="00D665B3" w:rsidRPr="00D665B3"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Original Indicator - Operational Boundary</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236,000</w:t>
            </w: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234,000</w:t>
            </w:r>
          </w:p>
        </w:tc>
      </w:tr>
      <w:tr w:rsidR="00D665B3" w:rsidRPr="00D665B3"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r>
      <w:tr w:rsidR="00D665B3" w:rsidRPr="00D665B3" w:rsidTr="00D665B3">
        <w:trPr>
          <w:trHeight w:val="570"/>
        </w:trPr>
        <w:tc>
          <w:tcPr>
            <w:tcW w:w="5540" w:type="dxa"/>
            <w:tcBorders>
              <w:top w:val="nil"/>
              <w:left w:val="single" w:sz="4" w:space="0" w:color="auto"/>
              <w:bottom w:val="nil"/>
              <w:right w:val="nil"/>
            </w:tcBorders>
            <w:shd w:val="clear" w:color="auto" w:fill="auto"/>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Financing Costs as a proportion of Net Revenue Stream - General Fund</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-0.15%</w:t>
            </w:r>
          </w:p>
        </w:tc>
        <w:tc>
          <w:tcPr>
            <w:tcW w:w="1540"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-0.09%</w:t>
            </w:r>
          </w:p>
        </w:tc>
      </w:tr>
      <w:tr w:rsidR="00D665B3" w:rsidRPr="00D665B3" w:rsidTr="00D665B3">
        <w:trPr>
          <w:trHeight w:val="570"/>
        </w:trPr>
        <w:tc>
          <w:tcPr>
            <w:tcW w:w="5540" w:type="dxa"/>
            <w:tcBorders>
              <w:top w:val="nil"/>
              <w:left w:val="single" w:sz="4" w:space="0" w:color="auto"/>
              <w:bottom w:val="single" w:sz="4" w:space="0" w:color="auto"/>
              <w:right w:val="nil"/>
            </w:tcBorders>
            <w:shd w:val="clear" w:color="auto" w:fill="auto"/>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Financing Costs as a proportion of Net Revenue Stream - HRA</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17.7%</w:t>
            </w:r>
          </w:p>
        </w:tc>
        <w:tc>
          <w:tcPr>
            <w:tcW w:w="1540" w:type="dxa"/>
            <w:tcBorders>
              <w:top w:val="nil"/>
              <w:left w:val="nil"/>
              <w:bottom w:val="single" w:sz="4" w:space="0" w:color="auto"/>
              <w:right w:val="single" w:sz="4" w:space="0" w:color="auto"/>
            </w:tcBorders>
            <w:shd w:val="clear" w:color="auto" w:fill="auto"/>
            <w:noWrap/>
            <w:vAlign w:val="bottom"/>
          </w:tcPr>
          <w:p w:rsidR="00D665B3" w:rsidRPr="00D665B3" w:rsidRDefault="00D665B3" w:rsidP="003948AC">
            <w:pPr>
              <w:spacing w:after="0"/>
              <w:jc w:val="right"/>
              <w:rPr>
                <w:rFonts w:cs="Arial"/>
                <w:color w:val="auto"/>
                <w:sz w:val="22"/>
                <w:szCs w:val="22"/>
              </w:rPr>
            </w:pPr>
            <w:r w:rsidRPr="00D665B3">
              <w:rPr>
                <w:rFonts w:cs="Arial"/>
                <w:color w:val="auto"/>
                <w:sz w:val="22"/>
                <w:szCs w:val="22"/>
              </w:rPr>
              <w:t>1</w:t>
            </w:r>
            <w:r w:rsidR="003948AC">
              <w:rPr>
                <w:rFonts w:cs="Arial"/>
                <w:color w:val="auto"/>
                <w:sz w:val="22"/>
                <w:szCs w:val="22"/>
              </w:rPr>
              <w:t>6</w:t>
            </w:r>
            <w:r w:rsidRPr="00D665B3">
              <w:rPr>
                <w:rFonts w:cs="Arial"/>
                <w:color w:val="auto"/>
                <w:sz w:val="22"/>
                <w:szCs w:val="22"/>
              </w:rPr>
              <w:t>.</w:t>
            </w:r>
            <w:r w:rsidR="003948AC">
              <w:rPr>
                <w:rFonts w:cs="Arial"/>
                <w:color w:val="auto"/>
                <w:sz w:val="22"/>
                <w:szCs w:val="22"/>
              </w:rPr>
              <w:t>8</w:t>
            </w:r>
            <w:r w:rsidRPr="00D665B3">
              <w:rPr>
                <w:rFonts w:cs="Arial"/>
                <w:color w:val="auto"/>
                <w:sz w:val="22"/>
                <w:szCs w:val="22"/>
              </w:rPr>
              <w:t>%</w:t>
            </w:r>
          </w:p>
        </w:tc>
      </w:tr>
    </w:tbl>
    <w:p w:rsidR="00D665B3" w:rsidRPr="00D665B3" w:rsidRDefault="00D665B3" w:rsidP="00D665B3">
      <w:pPr>
        <w:pStyle w:val="bParagraphtext"/>
        <w:numPr>
          <w:ilvl w:val="0"/>
          <w:numId w:val="0"/>
        </w:numPr>
        <w:spacing w:after="0"/>
        <w:ind w:left="425"/>
      </w:pPr>
    </w:p>
    <w:p w:rsidR="00D665B3" w:rsidRPr="001356F1" w:rsidRDefault="00D665B3" w:rsidP="00D665B3">
      <w:pPr>
        <w:spacing w:before="240"/>
        <w:outlineLvl w:val="0"/>
        <w:rPr>
          <w:b/>
        </w:rPr>
      </w:pPr>
      <w:r w:rsidRPr="00D665B3">
        <w:rPr>
          <w:b/>
        </w:rPr>
        <w:t>Icelandic Banks</w:t>
      </w:r>
    </w:p>
    <w:p w:rsidR="00D665B3" w:rsidRDefault="00D665B3" w:rsidP="00100D19">
      <w:pPr>
        <w:pStyle w:val="bParagraphtext"/>
      </w:pPr>
      <w:r w:rsidRPr="00D665B3">
        <w:t>During 2008/09 the Council invested £4.5 million with two of the now failed Icelandic banks: £3.0 million was deposited with Heritable Bank and £1.5 million with Glitnir Bank.</w:t>
      </w:r>
    </w:p>
    <w:p w:rsidR="00D665B3" w:rsidRDefault="00EA1ADC" w:rsidP="00100D19">
      <w:pPr>
        <w:pStyle w:val="bParagraphtext"/>
      </w:pPr>
      <w:r>
        <w:t>As at 31</w:t>
      </w:r>
      <w:r w:rsidR="00D665B3" w:rsidRPr="00D665B3">
        <w:t xml:space="preserve"> March 2016, the Council had received approximately £2.94 million of its original Heritable Bank investment.  A repayment of £0.119 million </w:t>
      </w:r>
      <w:r w:rsidR="00B96B52">
        <w:t>was</w:t>
      </w:r>
      <w:r w:rsidR="00D665B3" w:rsidRPr="00D665B3">
        <w:t xml:space="preserve"> received in 2015/16.  A balance of £0.060 </w:t>
      </w:r>
      <w:r w:rsidR="00B96B52">
        <w:t xml:space="preserve">million </w:t>
      </w:r>
      <w:r w:rsidR="00D665B3" w:rsidRPr="00D665B3">
        <w:t>remains</w:t>
      </w:r>
      <w:r w:rsidR="00B96B52">
        <w:t xml:space="preserve">.  </w:t>
      </w:r>
      <w:r w:rsidR="00D665B3" w:rsidRPr="00D665B3">
        <w:t xml:space="preserve"> </w:t>
      </w:r>
      <w:r w:rsidR="00B96B52">
        <w:t>T</w:t>
      </w:r>
      <w:r w:rsidR="00D665B3" w:rsidRPr="00D665B3">
        <w:t>he prospect of a full recovery is uncertain.</w:t>
      </w:r>
    </w:p>
    <w:p w:rsidR="00D665B3" w:rsidRDefault="00D665B3" w:rsidP="00100D19">
      <w:pPr>
        <w:pStyle w:val="bParagraphtext"/>
      </w:pPr>
      <w:r w:rsidRPr="00D665B3">
        <w:t xml:space="preserve">As at </w:t>
      </w:r>
      <w:r w:rsidR="00EA1ADC">
        <w:t>31</w:t>
      </w:r>
      <w:r w:rsidRPr="00D665B3">
        <w:t xml:space="preserve"> March 2016, the Council had received approximately £1.394 million of its Glitnir investment.  A repayment of £0.098 million has been received in 2015/16.  A balance of £0.106 million remains with the potential to recover this in due course.</w:t>
      </w:r>
    </w:p>
    <w:p w:rsidR="00D665B3" w:rsidRPr="001356F1" w:rsidRDefault="00D665B3" w:rsidP="00D665B3">
      <w:pPr>
        <w:spacing w:before="240"/>
        <w:outlineLvl w:val="0"/>
        <w:rPr>
          <w:b/>
        </w:rPr>
      </w:pPr>
      <w:r w:rsidRPr="00D665B3">
        <w:rPr>
          <w:b/>
        </w:rPr>
        <w:t>Investment Income</w:t>
      </w:r>
    </w:p>
    <w:p w:rsidR="00D665B3" w:rsidRDefault="00D665B3" w:rsidP="00100D19">
      <w:pPr>
        <w:pStyle w:val="bParagraphtext"/>
      </w:pPr>
      <w:r w:rsidRPr="00D665B3">
        <w:t xml:space="preserve">The following graph shows the monthly average interest earned by the Council in comparison to the base rate and also in comparison to its benchmarks: 3-months </w:t>
      </w:r>
      <w:proofErr w:type="spellStart"/>
      <w:r w:rsidRPr="00D665B3">
        <w:t>Libid</w:t>
      </w:r>
      <w:proofErr w:type="spellEnd"/>
      <w:r w:rsidRPr="00D665B3">
        <w:t xml:space="preserve"> and 7-day </w:t>
      </w:r>
      <w:proofErr w:type="spellStart"/>
      <w:r w:rsidRPr="00D665B3">
        <w:t>Libid</w:t>
      </w:r>
      <w:proofErr w:type="spellEnd"/>
      <w:r w:rsidRPr="00D665B3">
        <w:t>.</w:t>
      </w:r>
    </w:p>
    <w:p w:rsidR="00D665B3" w:rsidRDefault="00D665B3" w:rsidP="00D665B3">
      <w:pPr>
        <w:pStyle w:val="bParagraphtext"/>
        <w:numPr>
          <w:ilvl w:val="0"/>
          <w:numId w:val="0"/>
        </w:numPr>
        <w:ind w:left="426"/>
      </w:pPr>
      <w:r>
        <w:rPr>
          <w:noProof/>
        </w:rPr>
        <w:lastRenderedPageBreak/>
        <w:drawing>
          <wp:inline distT="0" distB="0" distL="0" distR="0" wp14:anchorId="3D81D89D" wp14:editId="395FE4F0">
            <wp:extent cx="5219363" cy="330964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1434" cy="3310955"/>
                    </a:xfrm>
                    <a:prstGeom prst="rect">
                      <a:avLst/>
                    </a:prstGeom>
                    <a:noFill/>
                  </pic:spPr>
                </pic:pic>
              </a:graphicData>
            </a:graphic>
          </wp:inline>
        </w:drawing>
      </w:r>
    </w:p>
    <w:p w:rsidR="00D665B3" w:rsidRDefault="00D665B3" w:rsidP="00100D19">
      <w:pPr>
        <w:pStyle w:val="bParagraphtext"/>
      </w:pPr>
      <w:r w:rsidRPr="00D665B3">
        <w:t xml:space="preserve">As illustrated above, the Council’s average monthly rate of return </w:t>
      </w:r>
      <w:r w:rsidR="00B96B52">
        <w:t>flu</w:t>
      </w:r>
      <w:r w:rsidR="009A6AD6">
        <w:t>ct</w:t>
      </w:r>
      <w:r w:rsidR="00B96B52">
        <w:t>uated</w:t>
      </w:r>
      <w:r w:rsidRPr="00D665B3">
        <w:t xml:space="preserve"> around the benchmark throughout the year.  It exceeded the benchmark for eight months, met the benchmark for two months and dropped below for two months.</w:t>
      </w:r>
    </w:p>
    <w:p w:rsidR="00D665B3" w:rsidRDefault="00D665B3" w:rsidP="00100D19">
      <w:pPr>
        <w:pStyle w:val="bParagraphtext"/>
      </w:pPr>
      <w:r w:rsidRPr="00D665B3">
        <w:t>The Council manages its investments in-house and invests with institutions listed in the Council’s approved counterparty list.  The Council invests for a range of periods from overnight to 364 days, dependant on cash flow needs, its interest rate view, the interest rates on offer and durational limits set out in the Council’s Investment Strategy.</w:t>
      </w:r>
    </w:p>
    <w:p w:rsidR="00D665B3" w:rsidRDefault="00D665B3" w:rsidP="00100D19">
      <w:pPr>
        <w:pStyle w:val="bParagraphtext"/>
      </w:pPr>
      <w:r w:rsidRPr="00D665B3">
        <w:t>During 2015/16, the Council maintained an average investment balance of £74.8million and received an average return of 1.17%.  This is above the target of 1% and is mainly due to investment in property funds. It is important to note that market rates have continued to drop throughout the financial year and that for many of the approved counterparties, the Council has not been able to achieve the same rate of return as in previous periods.</w:t>
      </w:r>
    </w:p>
    <w:p w:rsidR="00D665B3" w:rsidRDefault="00D665B3" w:rsidP="00100D19">
      <w:pPr>
        <w:pStyle w:val="bParagraphtext"/>
      </w:pPr>
      <w:r w:rsidRPr="00D665B3">
        <w:t xml:space="preserve">The Property Funds are classified as Non-specified Investments within the approved Strategy.  The current rate of return on the investments is circa 4.05% per annum.  The </w:t>
      </w:r>
      <w:r w:rsidR="00EB5A82">
        <w:t xml:space="preserve">capital </w:t>
      </w:r>
      <w:r w:rsidRPr="00D665B3">
        <w:t xml:space="preserve">value of the Communities, Churches and Local Authorities Fund has increased by 28.32% since April 2013 and the </w:t>
      </w:r>
      <w:proofErr w:type="spellStart"/>
      <w:r w:rsidRPr="00D665B3">
        <w:t>Lothbury</w:t>
      </w:r>
      <w:proofErr w:type="spellEnd"/>
      <w:r w:rsidRPr="00D665B3">
        <w:t xml:space="preserve"> fund has </w:t>
      </w:r>
      <w:r w:rsidR="00EB5A82">
        <w:t xml:space="preserve">similarly </w:t>
      </w:r>
      <w:r w:rsidRPr="00D665B3">
        <w:t xml:space="preserve">increased by 15.74% since August 2014.  </w:t>
      </w:r>
      <w:r w:rsidR="003948AC">
        <w:t>T</w:t>
      </w:r>
      <w:r w:rsidRPr="00D665B3">
        <w:t xml:space="preserve">his </w:t>
      </w:r>
      <w:r w:rsidR="003948AC">
        <w:t xml:space="preserve">capital value </w:t>
      </w:r>
      <w:r w:rsidRPr="00D665B3">
        <w:t>can also fluctuate downwards</w:t>
      </w:r>
      <w:r w:rsidR="00DB4E7B">
        <w:t>.</w:t>
      </w:r>
      <w:r w:rsidR="003948AC">
        <w:t xml:space="preserve"> </w:t>
      </w:r>
      <w:r w:rsidR="00DB4E7B">
        <w:t xml:space="preserve"> H</w:t>
      </w:r>
      <w:r w:rsidR="003948AC">
        <w:t>owever the Council joined the property funds as a long term investment because of the revenue stream</w:t>
      </w:r>
      <w:r w:rsidRPr="00D665B3">
        <w:t>.</w:t>
      </w:r>
      <w:r w:rsidR="003948AC">
        <w:t xml:space="preserve">  It is expected that the capital values will vary up and down in line with the property market and the overall position is monitored on a monthly basis.</w:t>
      </w:r>
      <w:r w:rsidR="00AC0CA1">
        <w:t xml:space="preserve">  Since </w:t>
      </w:r>
      <w:r w:rsidR="00EA1ADC">
        <w:t>31</w:t>
      </w:r>
      <w:r w:rsidR="00AC0CA1">
        <w:t xml:space="preserve"> March 2016 there has been a sharp reduction in the capital value of the property funds due to reductions in property values post-Brexit.  The Council entered into the property funds to achieve a revenue return and, whilst the capital value has reduced, it is still significantly above the purchase value.</w:t>
      </w:r>
    </w:p>
    <w:p w:rsidR="00D665B3" w:rsidRDefault="00D665B3" w:rsidP="00100D19">
      <w:pPr>
        <w:pStyle w:val="bParagraphtext"/>
      </w:pPr>
      <w:r w:rsidRPr="00D665B3">
        <w:t xml:space="preserve">Actual investment income for 2015/16 was £0.86 million; this was marginally lower than the original budget of £0.94 million.  Market rates continue to be very low and </w:t>
      </w:r>
      <w:r w:rsidRPr="00D665B3">
        <w:lastRenderedPageBreak/>
        <w:t>as security of investment is the Council’s primary concern, it has not always been possible to invest cash at more favourable rates.</w:t>
      </w:r>
    </w:p>
    <w:p w:rsidR="00D665B3" w:rsidRDefault="00D665B3" w:rsidP="00100D19">
      <w:pPr>
        <w:pStyle w:val="bParagraphtext"/>
      </w:pPr>
      <w:r w:rsidRPr="00D665B3">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 xml:space="preserve">Interest Rates since </w:t>
      </w:r>
      <w:r w:rsidR="00EA1ADC">
        <w:rPr>
          <w:b/>
        </w:rPr>
        <w:t>31</w:t>
      </w:r>
      <w:r>
        <w:rPr>
          <w:b/>
        </w:rPr>
        <w:t xml:space="preserve"> March 2016</w:t>
      </w:r>
    </w:p>
    <w:p w:rsidR="00643CC2" w:rsidRDefault="00643CC2" w:rsidP="00100D19">
      <w:pPr>
        <w:pStyle w:val="bParagraphtext"/>
      </w:pPr>
      <w:r>
        <w:t xml:space="preserve">The Council takes advice from Capita on the appropriate durations to place investments with counterparties.  These durations and also the availability of individual counterparties change based on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Default="00A07272" w:rsidP="00301501">
      <w:pPr>
        <w:pStyle w:val="bParagraphtext"/>
      </w:pPr>
      <w:r>
        <w:t>F</w:t>
      </w:r>
      <w:r w:rsidR="00643CC2">
        <w:t>ollowing the result of the referendum on 23</w:t>
      </w:r>
      <w:r w:rsidR="00643CC2" w:rsidRPr="001A509B">
        <w:rPr>
          <w:vertAlign w:val="superscript"/>
        </w:rPr>
        <w:t>rd</w:t>
      </w:r>
      <w:r w:rsidR="00643CC2">
        <w:t xml:space="preserve"> June 2016</w:t>
      </w:r>
      <w:r w:rsidR="00AC690C">
        <w:t xml:space="preserve">, there have been </w:t>
      </w:r>
      <w:r>
        <w:t xml:space="preserve">further </w:t>
      </w:r>
      <w:r w:rsidR="00AC690C">
        <w:t xml:space="preserve">downward pressures on interest rates.  </w:t>
      </w:r>
      <w:r w:rsidR="00301501" w:rsidRPr="00301501">
        <w:t>The Bank of England's Monetary Policy Committee did not adjust the Base Rate when it met in July</w:t>
      </w:r>
      <w:r w:rsidR="00301501">
        <w:t>,</w:t>
      </w:r>
      <w:r w:rsidR="00301501" w:rsidRPr="00301501">
        <w:t xml:space="preserve"> </w:t>
      </w:r>
      <w:r w:rsidR="00301501">
        <w:t>h</w:t>
      </w:r>
      <w:r w:rsidR="00301501" w:rsidRPr="00301501">
        <w:t>owever the release of economic data showing that the Brexit implications were more significant tha</w:t>
      </w:r>
      <w:r w:rsidR="00301501">
        <w:t>n</w:t>
      </w:r>
      <w:r w:rsidR="00301501" w:rsidRPr="00301501">
        <w:t xml:space="preserve"> first thought meant that the MPC Committee cut bank base rate by 0.25% to a record low of 0.25% at its meeting on the 4</w:t>
      </w:r>
      <w:r w:rsidR="00301501" w:rsidRPr="00301501">
        <w:rPr>
          <w:vertAlign w:val="superscript"/>
        </w:rPr>
        <w:t>th</w:t>
      </w:r>
      <w:r w:rsidR="00301501" w:rsidRPr="00301501">
        <w:t xml:space="preserve"> August. </w:t>
      </w:r>
      <w:r w:rsidR="00301501">
        <w:t xml:space="preserve"> </w:t>
      </w:r>
      <w:r w:rsidR="00301501" w:rsidRPr="00301501">
        <w:t xml:space="preserve">Capita have revised their interest rate forecasts and expect base rate to be cut further to 0.10% in </w:t>
      </w:r>
      <w:r w:rsidR="00301501">
        <w:t>December 2016</w:t>
      </w:r>
      <w:r w:rsidR="00301501" w:rsidRPr="00301501">
        <w:t>. The forecast goes on to suggest no rise in bas</w:t>
      </w:r>
      <w:r w:rsidR="00301501">
        <w:t>e rate until quarter 2 of 2018.</w:t>
      </w:r>
    </w:p>
    <w:p w:rsidR="000031CC" w:rsidRDefault="00AC690C" w:rsidP="00100D19">
      <w:pPr>
        <w:pStyle w:val="bParagraphtext"/>
      </w:pPr>
      <w:r>
        <w:t xml:space="preserve">Under the current market conditions, Money Market Funds (MMFs) are paying higher interest rates than many six-month investments.  </w:t>
      </w:r>
      <w:r w:rsidR="00DB0BD1">
        <w:t>MMF rates as at the beginning of August are up to 0.52% and six month investments have been quoted at rates down to 0.</w:t>
      </w:r>
      <w:r w:rsidR="00301501">
        <w:t>16</w:t>
      </w:r>
      <w:r w:rsidR="00DB0BD1">
        <w:t xml:space="preserve">%.  </w:t>
      </w:r>
      <w:r>
        <w:t xml:space="preserve">MMFs are amongst the most liquid of Council’s investment portfolio; they do not need the Council to give notice and, providing the Council requests funds by midday, the investment will be transferred into the Council’s bank account that same day.  MMFs </w:t>
      </w:r>
      <w:r w:rsidR="001A509B">
        <w:t>are ordinarily</w:t>
      </w:r>
      <w:r>
        <w:t xml:space="preserve"> used to provide cash flow flexibility to allow money to be accessed and invested quickly </w:t>
      </w:r>
      <w:r w:rsidR="00A85E45">
        <w:t xml:space="preserve">and </w:t>
      </w:r>
      <w:r>
        <w:t>to deal with fluctuations in cash flow</w:t>
      </w:r>
      <w:r w:rsidR="00A85E45">
        <w:t>.</w:t>
      </w:r>
    </w:p>
    <w:p w:rsidR="00643CC2" w:rsidRDefault="006F36C1" w:rsidP="00100D19">
      <w:pPr>
        <w:pStyle w:val="bParagraphtext"/>
      </w:pPr>
      <w:r>
        <w:t>To take advantage of the preferential rates MMFs are currently offering the</w:t>
      </w:r>
      <w:r w:rsidR="00AC690C">
        <w:t xml:space="preserve"> Council </w:t>
      </w:r>
      <w:r>
        <w:t xml:space="preserve">needs </w:t>
      </w:r>
      <w:r w:rsidR="00AC690C">
        <w:t>to increase the amount that can be invested in MMFs</w:t>
      </w:r>
      <w:r w:rsidR="000031CC">
        <w:t xml:space="preserve">.  It is therefore </w:t>
      </w:r>
      <w:r>
        <w:t>recommended that</w:t>
      </w:r>
      <w:r w:rsidR="000031CC">
        <w:t xml:space="preserve"> the 2016/17 Treasury Strategy </w:t>
      </w:r>
      <w:r w:rsidR="00CE2F57">
        <w:t xml:space="preserve">is amended </w:t>
      </w:r>
      <w:r w:rsidR="000031CC">
        <w:t xml:space="preserve">to allow </w:t>
      </w:r>
      <w:r w:rsidR="00CE2F57">
        <w:t xml:space="preserve">an </w:t>
      </w:r>
      <w:r w:rsidR="000031CC">
        <w:t xml:space="preserve">investment </w:t>
      </w:r>
      <w:r w:rsidR="00CE2F57">
        <w:t xml:space="preserve">limit of </w:t>
      </w:r>
      <w:r w:rsidR="000031CC">
        <w:t>£25 million</w:t>
      </w:r>
      <w:r w:rsidR="00CE2F57">
        <w:t xml:space="preserve"> in MMFs</w:t>
      </w:r>
      <w:r w:rsidR="000031CC">
        <w:t xml:space="preserve">, an increase of £5 million on the current limit.  The revised </w:t>
      </w:r>
      <w:r w:rsidR="00B80611">
        <w:t xml:space="preserve">Specified </w:t>
      </w:r>
      <w:r w:rsidR="000031CC">
        <w:t xml:space="preserve">Counterparty </w:t>
      </w:r>
      <w:r w:rsidR="00B80611">
        <w:t>List is attached at Appendix 1 with the proposed change shown in bold italics.</w:t>
      </w:r>
    </w:p>
    <w:p w:rsidR="00D665B3" w:rsidRPr="001356F1" w:rsidRDefault="00D665B3" w:rsidP="00D665B3">
      <w:pPr>
        <w:spacing w:before="240"/>
        <w:outlineLvl w:val="0"/>
        <w:rPr>
          <w:b/>
        </w:rPr>
      </w:pPr>
      <w:r w:rsidRPr="00D665B3">
        <w:rPr>
          <w:b/>
        </w:rPr>
        <w:t>Counterparty Changes</w:t>
      </w:r>
    </w:p>
    <w:p w:rsidR="00D665B3" w:rsidRDefault="00D665B3" w:rsidP="00100D19">
      <w:pPr>
        <w:pStyle w:val="bParagraphtext"/>
      </w:pPr>
      <w:r w:rsidRPr="00D665B3">
        <w:t>Following a tender process, Barclays Bank UK plc now provides the Council’s banking services.</w:t>
      </w:r>
    </w:p>
    <w:p w:rsidR="0040736F" w:rsidRPr="001356F1" w:rsidRDefault="002329CF" w:rsidP="004A6D2F">
      <w:pPr>
        <w:pStyle w:val="Heading1"/>
      </w:pPr>
      <w:r w:rsidRPr="001356F1">
        <w:t>Financial implications</w:t>
      </w:r>
    </w:p>
    <w:p w:rsidR="00E87F7A" w:rsidRPr="001356F1" w:rsidRDefault="00D665B3" w:rsidP="005570B5">
      <w:pPr>
        <w:pStyle w:val="ListParagraph"/>
      </w:pPr>
      <w:r w:rsidRPr="00D665B3">
        <w:t>These are set out within the body of the report.</w:t>
      </w:r>
    </w:p>
    <w:p w:rsidR="00EA1ADC" w:rsidRDefault="00EA1ADC" w:rsidP="004A6D2F">
      <w:pPr>
        <w:pStyle w:val="Heading1"/>
      </w:pPr>
    </w:p>
    <w:p w:rsidR="0040736F" w:rsidRPr="001356F1" w:rsidRDefault="00DA614B" w:rsidP="004A6D2F">
      <w:pPr>
        <w:pStyle w:val="Heading1"/>
      </w:pPr>
      <w:r w:rsidRPr="001356F1">
        <w:lastRenderedPageBreak/>
        <w:t>Legal issues</w:t>
      </w:r>
    </w:p>
    <w:p w:rsidR="00E87F7A" w:rsidRPr="001356F1" w:rsidRDefault="00D665B3" w:rsidP="005570B5">
      <w:pPr>
        <w:pStyle w:val="ListParagraph"/>
      </w:pPr>
      <w:r w:rsidRPr="00D665B3">
        <w:t>The Council is required to report on its Treasury Management Function on an annual basis.  This report meets that requirement</w:t>
      </w:r>
      <w:r w:rsidR="00E87F7A" w:rsidRPr="001356F1">
        <w:t>.</w:t>
      </w:r>
    </w:p>
    <w:p w:rsidR="002329CF" w:rsidRPr="001356F1" w:rsidRDefault="002329CF" w:rsidP="004A6D2F">
      <w:pPr>
        <w:pStyle w:val="Heading1"/>
      </w:pPr>
      <w:r w:rsidRPr="001356F1">
        <w:t>Level of risk</w:t>
      </w:r>
    </w:p>
    <w:p w:rsidR="00BC69A4" w:rsidRPr="001356F1" w:rsidRDefault="00D665B3" w:rsidP="005570B5">
      <w:pPr>
        <w:pStyle w:val="ListParagraph"/>
      </w:pPr>
      <w:r w:rsidRPr="00D665B3">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There is no equalities impact 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665B3"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665B3"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sidP="00A46E98">
            <w:r w:rsidRPr="00D665B3">
              <w:t xml:space="preserve">01865 252607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665B3" w:rsidP="00A46E98">
            <w:pPr>
              <w:rPr>
                <w:rStyle w:val="Hyperlink"/>
                <w:color w:val="000000"/>
              </w:rPr>
            </w:pPr>
            <w:r w:rsidRPr="00D665B3">
              <w:rPr>
                <w:u w:val="single"/>
              </w:rPr>
              <w:t xml:space="preserve">blewis@oxford.gov.uk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F8" w:rsidRDefault="006025F8" w:rsidP="004A6D2F">
      <w:r>
        <w:separator/>
      </w:r>
    </w:p>
  </w:endnote>
  <w:endnote w:type="continuationSeparator" w:id="0">
    <w:p w:rsidR="006025F8" w:rsidRDefault="006025F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AC" w:rsidRDefault="003948AC" w:rsidP="004A6D2F">
    <w:pPr>
      <w:pStyle w:val="Footer"/>
    </w:pPr>
    <w:r>
      <w:t>Do not use a footer or page numbers.</w:t>
    </w:r>
  </w:p>
  <w:p w:rsidR="003948AC" w:rsidRDefault="003948AC" w:rsidP="004A6D2F">
    <w:pPr>
      <w:pStyle w:val="Footer"/>
    </w:pPr>
  </w:p>
  <w:p w:rsidR="003948AC" w:rsidRDefault="003948A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AC" w:rsidRDefault="003948A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F8" w:rsidRDefault="006025F8" w:rsidP="004A6D2F">
      <w:r>
        <w:separator/>
      </w:r>
    </w:p>
  </w:footnote>
  <w:footnote w:type="continuationSeparator" w:id="0">
    <w:p w:rsidR="006025F8" w:rsidRDefault="006025F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AC" w:rsidRDefault="003948AC" w:rsidP="00D5547E">
    <w:pPr>
      <w:pStyle w:val="Header"/>
      <w:jc w:val="right"/>
    </w:pPr>
    <w:r>
      <w:rPr>
        <w:noProof/>
      </w:rPr>
      <w:drawing>
        <wp:inline distT="0" distB="0" distL="0" distR="0" wp14:anchorId="4CC84CD2" wp14:editId="3B37FEFD">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62FC9"/>
    <w:rsid w:val="00064D8A"/>
    <w:rsid w:val="00064F82"/>
    <w:rsid w:val="00066510"/>
    <w:rsid w:val="00075ED0"/>
    <w:rsid w:val="00077523"/>
    <w:rsid w:val="000B39A5"/>
    <w:rsid w:val="000C089F"/>
    <w:rsid w:val="000C3928"/>
    <w:rsid w:val="000C5E8E"/>
    <w:rsid w:val="000F4751"/>
    <w:rsid w:val="00100D19"/>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09B"/>
    <w:rsid w:val="001A5731"/>
    <w:rsid w:val="001B42C3"/>
    <w:rsid w:val="001B6F05"/>
    <w:rsid w:val="001C2FA1"/>
    <w:rsid w:val="001C5D5E"/>
    <w:rsid w:val="001D1833"/>
    <w:rsid w:val="001D678D"/>
    <w:rsid w:val="001E03F8"/>
    <w:rsid w:val="001E1678"/>
    <w:rsid w:val="001E3376"/>
    <w:rsid w:val="002069B3"/>
    <w:rsid w:val="002329CF"/>
    <w:rsid w:val="00232F5B"/>
    <w:rsid w:val="00240F69"/>
    <w:rsid w:val="00247C29"/>
    <w:rsid w:val="00260467"/>
    <w:rsid w:val="00263EA3"/>
    <w:rsid w:val="002766F5"/>
    <w:rsid w:val="00284F85"/>
    <w:rsid w:val="00290915"/>
    <w:rsid w:val="002A22E2"/>
    <w:rsid w:val="002A37DD"/>
    <w:rsid w:val="002C64F7"/>
    <w:rsid w:val="002D4552"/>
    <w:rsid w:val="002F41F2"/>
    <w:rsid w:val="002F5B4D"/>
    <w:rsid w:val="00301501"/>
    <w:rsid w:val="00301BF3"/>
    <w:rsid w:val="0030208D"/>
    <w:rsid w:val="00307033"/>
    <w:rsid w:val="00323418"/>
    <w:rsid w:val="003357BF"/>
    <w:rsid w:val="003623E2"/>
    <w:rsid w:val="00364FAD"/>
    <w:rsid w:val="0036738F"/>
    <w:rsid w:val="0036759C"/>
    <w:rsid w:val="00367AE5"/>
    <w:rsid w:val="00367D71"/>
    <w:rsid w:val="0037743F"/>
    <w:rsid w:val="0038150A"/>
    <w:rsid w:val="003948AC"/>
    <w:rsid w:val="003B6E75"/>
    <w:rsid w:val="003B7DA1"/>
    <w:rsid w:val="003C415C"/>
    <w:rsid w:val="003D0379"/>
    <w:rsid w:val="003D2574"/>
    <w:rsid w:val="003D4C59"/>
    <w:rsid w:val="003F4267"/>
    <w:rsid w:val="00404032"/>
    <w:rsid w:val="0040736F"/>
    <w:rsid w:val="00412C1F"/>
    <w:rsid w:val="00421CB2"/>
    <w:rsid w:val="004268B9"/>
    <w:rsid w:val="00433B96"/>
    <w:rsid w:val="0043668A"/>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08F5"/>
    <w:rsid w:val="00575F5F"/>
    <w:rsid w:val="00581805"/>
    <w:rsid w:val="00585F76"/>
    <w:rsid w:val="005A34E4"/>
    <w:rsid w:val="005B17F2"/>
    <w:rsid w:val="005B7A13"/>
    <w:rsid w:val="005B7FB0"/>
    <w:rsid w:val="005C17B3"/>
    <w:rsid w:val="005C2282"/>
    <w:rsid w:val="005C35A5"/>
    <w:rsid w:val="005C4FF3"/>
    <w:rsid w:val="005C577C"/>
    <w:rsid w:val="005D0621"/>
    <w:rsid w:val="005D1E27"/>
    <w:rsid w:val="005D2A3E"/>
    <w:rsid w:val="005E022E"/>
    <w:rsid w:val="005E5215"/>
    <w:rsid w:val="005F7F7E"/>
    <w:rsid w:val="006025F8"/>
    <w:rsid w:val="00614693"/>
    <w:rsid w:val="00623C2F"/>
    <w:rsid w:val="00633578"/>
    <w:rsid w:val="00637068"/>
    <w:rsid w:val="00643CC2"/>
    <w:rsid w:val="00650811"/>
    <w:rsid w:val="00661D3E"/>
    <w:rsid w:val="00692627"/>
    <w:rsid w:val="006969E7"/>
    <w:rsid w:val="006A3643"/>
    <w:rsid w:val="006C2A29"/>
    <w:rsid w:val="006C64CF"/>
    <w:rsid w:val="006D17B1"/>
    <w:rsid w:val="006D4752"/>
    <w:rsid w:val="006D708A"/>
    <w:rsid w:val="006E14C1"/>
    <w:rsid w:val="006F0292"/>
    <w:rsid w:val="006F27FA"/>
    <w:rsid w:val="006F36C1"/>
    <w:rsid w:val="006F416B"/>
    <w:rsid w:val="006F519B"/>
    <w:rsid w:val="00713675"/>
    <w:rsid w:val="00715823"/>
    <w:rsid w:val="00737B93"/>
    <w:rsid w:val="00745BF0"/>
    <w:rsid w:val="007615FE"/>
    <w:rsid w:val="0076655C"/>
    <w:rsid w:val="007703CA"/>
    <w:rsid w:val="0077395B"/>
    <w:rsid w:val="007742DC"/>
    <w:rsid w:val="00791437"/>
    <w:rsid w:val="007B0C2C"/>
    <w:rsid w:val="007B278E"/>
    <w:rsid w:val="007C5C23"/>
    <w:rsid w:val="007D2192"/>
    <w:rsid w:val="007E2A26"/>
    <w:rsid w:val="007F2348"/>
    <w:rsid w:val="00803F07"/>
    <w:rsid w:val="0080749A"/>
    <w:rsid w:val="00821FB8"/>
    <w:rsid w:val="00822ACD"/>
    <w:rsid w:val="00841F4D"/>
    <w:rsid w:val="00855C66"/>
    <w:rsid w:val="00871EE4"/>
    <w:rsid w:val="00886756"/>
    <w:rsid w:val="00890146"/>
    <w:rsid w:val="008A50BD"/>
    <w:rsid w:val="008B293F"/>
    <w:rsid w:val="008B7371"/>
    <w:rsid w:val="008D2323"/>
    <w:rsid w:val="008D3DDB"/>
    <w:rsid w:val="008F573F"/>
    <w:rsid w:val="009034EC"/>
    <w:rsid w:val="0090526E"/>
    <w:rsid w:val="0093067A"/>
    <w:rsid w:val="00941C60"/>
    <w:rsid w:val="009436B2"/>
    <w:rsid w:val="00966D42"/>
    <w:rsid w:val="009678A8"/>
    <w:rsid w:val="00971689"/>
    <w:rsid w:val="00973E90"/>
    <w:rsid w:val="00975B07"/>
    <w:rsid w:val="00980B4A"/>
    <w:rsid w:val="00981D91"/>
    <w:rsid w:val="009A6AD6"/>
    <w:rsid w:val="009D2089"/>
    <w:rsid w:val="009E3D0A"/>
    <w:rsid w:val="009E51FC"/>
    <w:rsid w:val="009F1D28"/>
    <w:rsid w:val="009F7618"/>
    <w:rsid w:val="00A04D23"/>
    <w:rsid w:val="00A06766"/>
    <w:rsid w:val="00A07272"/>
    <w:rsid w:val="00A13765"/>
    <w:rsid w:val="00A21B12"/>
    <w:rsid w:val="00A23F80"/>
    <w:rsid w:val="00A27956"/>
    <w:rsid w:val="00A46E98"/>
    <w:rsid w:val="00A6352B"/>
    <w:rsid w:val="00A701B5"/>
    <w:rsid w:val="00A714BB"/>
    <w:rsid w:val="00A85E45"/>
    <w:rsid w:val="00A92D8F"/>
    <w:rsid w:val="00AB2988"/>
    <w:rsid w:val="00AB7999"/>
    <w:rsid w:val="00AC0CA1"/>
    <w:rsid w:val="00AC10B7"/>
    <w:rsid w:val="00AC690C"/>
    <w:rsid w:val="00AD3292"/>
    <w:rsid w:val="00AE7AF0"/>
    <w:rsid w:val="00B500CA"/>
    <w:rsid w:val="00B80611"/>
    <w:rsid w:val="00B86314"/>
    <w:rsid w:val="00B96B52"/>
    <w:rsid w:val="00BA0F24"/>
    <w:rsid w:val="00BA1C2E"/>
    <w:rsid w:val="00BC200B"/>
    <w:rsid w:val="00BC4756"/>
    <w:rsid w:val="00BC69A4"/>
    <w:rsid w:val="00BE0680"/>
    <w:rsid w:val="00BE24E6"/>
    <w:rsid w:val="00BE305F"/>
    <w:rsid w:val="00BE7BA3"/>
    <w:rsid w:val="00BF5682"/>
    <w:rsid w:val="00BF7B09"/>
    <w:rsid w:val="00C20A95"/>
    <w:rsid w:val="00C2692F"/>
    <w:rsid w:val="00C3207C"/>
    <w:rsid w:val="00C400E1"/>
    <w:rsid w:val="00C41187"/>
    <w:rsid w:val="00C505DF"/>
    <w:rsid w:val="00C63C31"/>
    <w:rsid w:val="00C63CDF"/>
    <w:rsid w:val="00C757A0"/>
    <w:rsid w:val="00C760DE"/>
    <w:rsid w:val="00C82630"/>
    <w:rsid w:val="00C85B4E"/>
    <w:rsid w:val="00C907F7"/>
    <w:rsid w:val="00CA2103"/>
    <w:rsid w:val="00CB6B99"/>
    <w:rsid w:val="00CD2A56"/>
    <w:rsid w:val="00CE2F57"/>
    <w:rsid w:val="00CE4C87"/>
    <w:rsid w:val="00CE544A"/>
    <w:rsid w:val="00D11E1C"/>
    <w:rsid w:val="00D160B0"/>
    <w:rsid w:val="00D17F94"/>
    <w:rsid w:val="00D223FC"/>
    <w:rsid w:val="00D26D1E"/>
    <w:rsid w:val="00D474CF"/>
    <w:rsid w:val="00D53CEA"/>
    <w:rsid w:val="00D5547E"/>
    <w:rsid w:val="00D665B3"/>
    <w:rsid w:val="00D869A1"/>
    <w:rsid w:val="00D91269"/>
    <w:rsid w:val="00DA413F"/>
    <w:rsid w:val="00DA4584"/>
    <w:rsid w:val="00DA614B"/>
    <w:rsid w:val="00DA63F7"/>
    <w:rsid w:val="00DB0BD1"/>
    <w:rsid w:val="00DB4E7B"/>
    <w:rsid w:val="00DC3060"/>
    <w:rsid w:val="00DE0FB2"/>
    <w:rsid w:val="00DF093E"/>
    <w:rsid w:val="00DF1D02"/>
    <w:rsid w:val="00E01F42"/>
    <w:rsid w:val="00E206D6"/>
    <w:rsid w:val="00E3366E"/>
    <w:rsid w:val="00E52086"/>
    <w:rsid w:val="00E543A6"/>
    <w:rsid w:val="00E60479"/>
    <w:rsid w:val="00E61D73"/>
    <w:rsid w:val="00E73684"/>
    <w:rsid w:val="00E818D6"/>
    <w:rsid w:val="00E87F7A"/>
    <w:rsid w:val="00E92925"/>
    <w:rsid w:val="00E94DFB"/>
    <w:rsid w:val="00E96BD7"/>
    <w:rsid w:val="00EA0DB1"/>
    <w:rsid w:val="00EA0EE9"/>
    <w:rsid w:val="00EA1ADC"/>
    <w:rsid w:val="00EB5A82"/>
    <w:rsid w:val="00ED52CA"/>
    <w:rsid w:val="00ED5860"/>
    <w:rsid w:val="00EE35C9"/>
    <w:rsid w:val="00F05ECA"/>
    <w:rsid w:val="00F133FC"/>
    <w:rsid w:val="00F3566E"/>
    <w:rsid w:val="00F375FB"/>
    <w:rsid w:val="00F41AC1"/>
    <w:rsid w:val="00F4367A"/>
    <w:rsid w:val="00F445B1"/>
    <w:rsid w:val="00F45CD4"/>
    <w:rsid w:val="00F66DCA"/>
    <w:rsid w:val="00F74F53"/>
    <w:rsid w:val="00F7606D"/>
    <w:rsid w:val="00F81670"/>
    <w:rsid w:val="00F817ED"/>
    <w:rsid w:val="00F82024"/>
    <w:rsid w:val="00F8363E"/>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99E3-117B-4CBE-8E54-668DA2E4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B489C2AD.dotm</Template>
  <TotalTime>25</TotalTime>
  <Pages>9</Pages>
  <Words>2894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2015-07-03T12:50:00Z</cp:lastPrinted>
  <dcterms:created xsi:type="dcterms:W3CDTF">2016-08-10T15:59:00Z</dcterms:created>
  <dcterms:modified xsi:type="dcterms:W3CDTF">2016-08-19T15:28:00Z</dcterms:modified>
</cp:coreProperties>
</file>